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3F" w:rsidRDefault="00D11D3F" w:rsidP="00D11D3F">
      <w:pPr>
        <w:pStyle w:val="a3"/>
        <w:ind w:left="-426"/>
      </w:pPr>
      <w:r>
        <w:t>Извещение о проведении конкурса</w:t>
      </w:r>
    </w:p>
    <w:p w:rsidR="00D11D3F" w:rsidRDefault="00D11D3F" w:rsidP="00D55FCA">
      <w:pPr>
        <w:pStyle w:val="a3"/>
        <w:ind w:left="-426"/>
        <w:jc w:val="both"/>
      </w:pPr>
    </w:p>
    <w:p w:rsidR="00246F3D" w:rsidRPr="00756565" w:rsidRDefault="00756565" w:rsidP="00756565">
      <w:pPr>
        <w:pStyle w:val="a3"/>
        <w:spacing w:line="276" w:lineRule="auto"/>
        <w:ind w:firstLine="708"/>
        <w:jc w:val="both"/>
        <w:rPr>
          <w:sz w:val="22"/>
          <w:szCs w:val="22"/>
        </w:rPr>
      </w:pPr>
      <w:r>
        <w:rPr>
          <w:b w:val="0"/>
          <w:sz w:val="22"/>
          <w:szCs w:val="22"/>
        </w:rPr>
        <w:t xml:space="preserve">Организатор конкурса: </w:t>
      </w:r>
      <w:proofErr w:type="gramStart"/>
      <w:r w:rsidR="00246F3D" w:rsidRPr="00D55FCA">
        <w:rPr>
          <w:b w:val="0"/>
          <w:sz w:val="22"/>
          <w:szCs w:val="22"/>
        </w:rPr>
        <w:t xml:space="preserve">Администрация </w:t>
      </w:r>
      <w:r w:rsidR="00B21DDC">
        <w:rPr>
          <w:b w:val="0"/>
          <w:sz w:val="22"/>
          <w:szCs w:val="22"/>
        </w:rPr>
        <w:t>сельского поселения</w:t>
      </w:r>
      <w:r w:rsidR="00246F3D" w:rsidRPr="00D55FCA">
        <w:rPr>
          <w:b w:val="0"/>
          <w:sz w:val="22"/>
          <w:szCs w:val="22"/>
        </w:rPr>
        <w:t xml:space="preserve"> Раевский сельсовет МР Альшеевский район Республики Башкортостан</w:t>
      </w:r>
      <w:r>
        <w:rPr>
          <w:b w:val="0"/>
          <w:sz w:val="22"/>
          <w:szCs w:val="22"/>
        </w:rPr>
        <w:t xml:space="preserve">, </w:t>
      </w:r>
      <w:r w:rsidRPr="00756565">
        <w:rPr>
          <w:b w:val="0"/>
          <w:sz w:val="22"/>
          <w:szCs w:val="22"/>
        </w:rPr>
        <w:t>Республика Башкортостан, Альшеевский район, с. Раевский, ул. Победы, 2А, тел.2-23-39, 2-23-40, электронная почта:</w:t>
      </w:r>
      <w:r w:rsidRPr="00756565">
        <w:rPr>
          <w:b w:val="0"/>
        </w:rPr>
        <w:t xml:space="preserve"> </w:t>
      </w:r>
      <w:hyperlink r:id="rId5" w:history="1">
        <w:r w:rsidRPr="00756565">
          <w:rPr>
            <w:rStyle w:val="a9"/>
            <w:b w:val="0"/>
            <w:sz w:val="22"/>
            <w:szCs w:val="22"/>
          </w:rPr>
          <w:t>spraevskiyselsovet@yandex.ru</w:t>
        </w:r>
      </w:hyperlink>
      <w:r w:rsidRPr="00756565">
        <w:rPr>
          <w:b w:val="0"/>
          <w:sz w:val="22"/>
          <w:szCs w:val="22"/>
        </w:rPr>
        <w:t>,</w:t>
      </w:r>
      <w:r>
        <w:rPr>
          <w:sz w:val="22"/>
          <w:szCs w:val="22"/>
        </w:rPr>
        <w:t xml:space="preserve"> </w:t>
      </w:r>
      <w:r w:rsidR="00246F3D" w:rsidRPr="00D55FCA">
        <w:rPr>
          <w:b w:val="0"/>
          <w:sz w:val="22"/>
          <w:szCs w:val="22"/>
        </w:rPr>
        <w:t xml:space="preserve"> сообщает о проведении конкурса </w:t>
      </w:r>
      <w:r w:rsidR="00246F3D" w:rsidRPr="00D55FCA">
        <w:rPr>
          <w:b w:val="0"/>
          <w:bCs w:val="0"/>
          <w:sz w:val="22"/>
          <w:szCs w:val="22"/>
        </w:rPr>
        <w:t xml:space="preserve">на право размещения   нестационарных передвижных торговых объектов на  территории </w:t>
      </w:r>
      <w:r w:rsidR="00D55FCA">
        <w:rPr>
          <w:b w:val="0"/>
          <w:sz w:val="22"/>
          <w:szCs w:val="22"/>
        </w:rPr>
        <w:t xml:space="preserve">сельского поселения Раевский сельсовет муниципального района Альшеевский район </w:t>
      </w:r>
      <w:r w:rsidR="00D55FCA">
        <w:rPr>
          <w:b w:val="0"/>
          <w:bCs w:val="0"/>
          <w:sz w:val="22"/>
          <w:szCs w:val="22"/>
        </w:rPr>
        <w:t>Республики Башкортостан</w:t>
      </w:r>
      <w:r w:rsidR="00D55FCA" w:rsidRPr="00D55FCA">
        <w:rPr>
          <w:b w:val="0"/>
          <w:sz w:val="22"/>
          <w:szCs w:val="22"/>
        </w:rPr>
        <w:t xml:space="preserve"> </w:t>
      </w:r>
      <w:r w:rsidR="00D55FCA" w:rsidRPr="00D55FCA">
        <w:rPr>
          <w:b w:val="0"/>
          <w:bCs w:val="0"/>
          <w:sz w:val="22"/>
          <w:szCs w:val="22"/>
        </w:rPr>
        <w:t>(основание</w:t>
      </w:r>
      <w:r w:rsidR="00D55FCA">
        <w:rPr>
          <w:bCs w:val="0"/>
          <w:sz w:val="22"/>
          <w:szCs w:val="22"/>
        </w:rPr>
        <w:t xml:space="preserve"> </w:t>
      </w:r>
      <w:r w:rsidR="00256136">
        <w:rPr>
          <w:b w:val="0"/>
          <w:bCs w:val="0"/>
          <w:sz w:val="22"/>
          <w:szCs w:val="22"/>
        </w:rPr>
        <w:t xml:space="preserve"> Постановление</w:t>
      </w:r>
      <w:r w:rsidR="00246F3D">
        <w:rPr>
          <w:b w:val="0"/>
          <w:bCs w:val="0"/>
          <w:sz w:val="22"/>
          <w:szCs w:val="22"/>
        </w:rPr>
        <w:t xml:space="preserve">  </w:t>
      </w:r>
      <w:r w:rsidR="000D39A0">
        <w:rPr>
          <w:b w:val="0"/>
          <w:bCs w:val="0"/>
          <w:sz w:val="22"/>
          <w:szCs w:val="22"/>
        </w:rPr>
        <w:t xml:space="preserve">от </w:t>
      </w:r>
      <w:r>
        <w:rPr>
          <w:b w:val="0"/>
          <w:bCs w:val="0"/>
          <w:sz w:val="22"/>
          <w:szCs w:val="22"/>
        </w:rPr>
        <w:t>09.03.2023</w:t>
      </w:r>
      <w:r w:rsidR="00F6494B" w:rsidRPr="00D11D3F">
        <w:rPr>
          <w:b w:val="0"/>
          <w:bCs w:val="0"/>
          <w:sz w:val="22"/>
          <w:szCs w:val="22"/>
        </w:rPr>
        <w:t xml:space="preserve"> г. № </w:t>
      </w:r>
      <w:r>
        <w:rPr>
          <w:b w:val="0"/>
          <w:bCs w:val="0"/>
          <w:sz w:val="22"/>
          <w:szCs w:val="22"/>
        </w:rPr>
        <w:t>45</w:t>
      </w:r>
      <w:r w:rsidR="00B21DDC">
        <w:rPr>
          <w:b w:val="0"/>
          <w:bCs w:val="0"/>
          <w:sz w:val="22"/>
          <w:szCs w:val="22"/>
        </w:rPr>
        <w:t>)</w:t>
      </w:r>
      <w:r w:rsidR="00246F3D">
        <w:rPr>
          <w:b w:val="0"/>
          <w:bCs w:val="0"/>
          <w:sz w:val="22"/>
          <w:szCs w:val="22"/>
        </w:rPr>
        <w:t>.</w:t>
      </w:r>
      <w:proofErr w:type="gramEnd"/>
    </w:p>
    <w:p w:rsidR="00246F3D" w:rsidRDefault="00246F3D" w:rsidP="002E21F9">
      <w:pPr>
        <w:pStyle w:val="a3"/>
        <w:spacing w:line="276" w:lineRule="auto"/>
        <w:ind w:firstLine="708"/>
        <w:jc w:val="both"/>
        <w:rPr>
          <w:b w:val="0"/>
          <w:sz w:val="22"/>
          <w:szCs w:val="22"/>
        </w:rPr>
      </w:pPr>
      <w:r>
        <w:rPr>
          <w:b w:val="0"/>
          <w:sz w:val="22"/>
          <w:szCs w:val="22"/>
        </w:rPr>
        <w:t>Предмет конкурса – право на размещение нестационарного передвижного торгового объекта  на территории сельского поселения Раевский сельсовет муниципального района Альшеевский район Республики Башкортостан.</w:t>
      </w:r>
    </w:p>
    <w:p w:rsidR="000667DF" w:rsidRDefault="00246F3D" w:rsidP="000667DF">
      <w:pPr>
        <w:ind w:firstLine="567"/>
        <w:jc w:val="both"/>
        <w:rPr>
          <w:sz w:val="22"/>
          <w:szCs w:val="22"/>
        </w:rPr>
      </w:pPr>
      <w:r>
        <w:rPr>
          <w:sz w:val="22"/>
          <w:szCs w:val="22"/>
        </w:rPr>
        <w:t>Форма подачи конкурсной документации  – закрытая (запечатанный конверт).</w:t>
      </w:r>
      <w:r w:rsidR="000667DF">
        <w:rPr>
          <w:sz w:val="22"/>
          <w:szCs w:val="22"/>
        </w:rPr>
        <w:t xml:space="preserve"> </w:t>
      </w:r>
    </w:p>
    <w:p w:rsidR="00246F3D" w:rsidRDefault="000667DF" w:rsidP="000667DF">
      <w:pPr>
        <w:ind w:firstLine="567"/>
        <w:jc w:val="both"/>
        <w:rPr>
          <w:sz w:val="22"/>
          <w:szCs w:val="22"/>
        </w:rPr>
      </w:pPr>
      <w:r>
        <w:rPr>
          <w:sz w:val="22"/>
          <w:szCs w:val="22"/>
        </w:rPr>
        <w:t>На конкурс выставляются следующие места размещения нестационарных передвижных торговых объектов (объектов по оказанию услуг</w:t>
      </w:r>
      <w:proofErr w:type="gramStart"/>
      <w:r>
        <w:rPr>
          <w:sz w:val="22"/>
          <w:szCs w:val="22"/>
        </w:rPr>
        <w:t>)п</w:t>
      </w:r>
      <w:proofErr w:type="gramEnd"/>
      <w:r>
        <w:rPr>
          <w:sz w:val="22"/>
          <w:szCs w:val="22"/>
        </w:rPr>
        <w:t>о Лотам:</w:t>
      </w:r>
    </w:p>
    <w:tbl>
      <w:tblPr>
        <w:tblpPr w:leftFromText="180" w:rightFromText="180" w:vertAnchor="text" w:horzAnchor="page" w:tblpX="1724" w:tblpY="1272"/>
        <w:tblW w:w="98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3"/>
        <w:gridCol w:w="2410"/>
        <w:gridCol w:w="1843"/>
        <w:gridCol w:w="1842"/>
        <w:gridCol w:w="1418"/>
        <w:gridCol w:w="850"/>
        <w:gridCol w:w="992"/>
      </w:tblGrid>
      <w:tr w:rsidR="00756565" w:rsidRPr="00632FE0" w:rsidTr="009864BF">
        <w:trPr>
          <w:tblCellSpacing w:w="15" w:type="dxa"/>
        </w:trPr>
        <w:tc>
          <w:tcPr>
            <w:tcW w:w="428" w:type="dxa"/>
            <w:tcMar>
              <w:top w:w="15" w:type="dxa"/>
              <w:left w:w="149" w:type="dxa"/>
              <w:bottom w:w="15" w:type="dxa"/>
              <w:right w:w="149" w:type="dxa"/>
            </w:tcMar>
            <w:hideMark/>
          </w:tcPr>
          <w:p w:rsidR="00756565" w:rsidRPr="00632FE0" w:rsidRDefault="00756565" w:rsidP="009864BF">
            <w:pPr>
              <w:jc w:val="center"/>
              <w:rPr>
                <w:sz w:val="22"/>
                <w:szCs w:val="22"/>
              </w:rPr>
            </w:pPr>
            <w:r w:rsidRPr="00632FE0">
              <w:rPr>
                <w:sz w:val="22"/>
                <w:szCs w:val="22"/>
              </w:rPr>
              <w:t>N</w:t>
            </w:r>
            <w:r w:rsidRPr="00632FE0">
              <w:rPr>
                <w:sz w:val="22"/>
                <w:szCs w:val="22"/>
              </w:rPr>
              <w:br/>
            </w:r>
            <w:proofErr w:type="spellStart"/>
            <w:proofErr w:type="gramStart"/>
            <w:r w:rsidRPr="00632FE0">
              <w:rPr>
                <w:sz w:val="22"/>
                <w:szCs w:val="22"/>
              </w:rPr>
              <w:t>п</w:t>
            </w:r>
            <w:proofErr w:type="spellEnd"/>
            <w:proofErr w:type="gramEnd"/>
            <w:r w:rsidRPr="00632FE0">
              <w:rPr>
                <w:sz w:val="22"/>
                <w:szCs w:val="22"/>
              </w:rPr>
              <w:t>/</w:t>
            </w:r>
            <w:proofErr w:type="spellStart"/>
            <w:r w:rsidRPr="00632FE0">
              <w:rPr>
                <w:sz w:val="22"/>
                <w:szCs w:val="22"/>
              </w:rPr>
              <w:t>п</w:t>
            </w:r>
            <w:proofErr w:type="spellEnd"/>
          </w:p>
        </w:tc>
        <w:tc>
          <w:tcPr>
            <w:tcW w:w="2380" w:type="dxa"/>
            <w:tcMar>
              <w:top w:w="15" w:type="dxa"/>
              <w:left w:w="149" w:type="dxa"/>
              <w:bottom w:w="15" w:type="dxa"/>
              <w:right w:w="149" w:type="dxa"/>
            </w:tcMar>
            <w:hideMark/>
          </w:tcPr>
          <w:p w:rsidR="00756565" w:rsidRPr="00632FE0" w:rsidRDefault="00756565" w:rsidP="009864BF">
            <w:pPr>
              <w:jc w:val="center"/>
              <w:rPr>
                <w:sz w:val="22"/>
                <w:szCs w:val="22"/>
              </w:rPr>
            </w:pPr>
            <w:r w:rsidRPr="00632FE0">
              <w:rPr>
                <w:sz w:val="22"/>
                <w:szCs w:val="22"/>
              </w:rPr>
              <w:t>Адресные ориентиры размещения нестационарного торгового объекта</w:t>
            </w:r>
          </w:p>
        </w:tc>
        <w:tc>
          <w:tcPr>
            <w:tcW w:w="1813" w:type="dxa"/>
            <w:tcMar>
              <w:top w:w="15" w:type="dxa"/>
              <w:left w:w="149" w:type="dxa"/>
              <w:bottom w:w="15" w:type="dxa"/>
              <w:right w:w="149" w:type="dxa"/>
            </w:tcMar>
            <w:hideMark/>
          </w:tcPr>
          <w:p w:rsidR="00756565" w:rsidRPr="00632FE0" w:rsidRDefault="00756565" w:rsidP="009864BF">
            <w:pPr>
              <w:jc w:val="center"/>
              <w:rPr>
                <w:sz w:val="22"/>
                <w:szCs w:val="22"/>
              </w:rPr>
            </w:pPr>
            <w:r w:rsidRPr="00632FE0">
              <w:rPr>
                <w:sz w:val="22"/>
                <w:szCs w:val="22"/>
              </w:rPr>
              <w:t>Вид нестационарного торгового объекта</w:t>
            </w:r>
          </w:p>
        </w:tc>
        <w:tc>
          <w:tcPr>
            <w:tcW w:w="1812" w:type="dxa"/>
            <w:tcMar>
              <w:top w:w="15" w:type="dxa"/>
              <w:left w:w="149" w:type="dxa"/>
              <w:bottom w:w="15" w:type="dxa"/>
              <w:right w:w="149" w:type="dxa"/>
            </w:tcMar>
            <w:hideMark/>
          </w:tcPr>
          <w:p w:rsidR="00756565" w:rsidRPr="00632FE0" w:rsidRDefault="00756565" w:rsidP="009864BF">
            <w:pPr>
              <w:jc w:val="center"/>
              <w:rPr>
                <w:sz w:val="22"/>
                <w:szCs w:val="22"/>
              </w:rPr>
            </w:pPr>
            <w:r w:rsidRPr="00632FE0">
              <w:rPr>
                <w:sz w:val="22"/>
                <w:szCs w:val="22"/>
              </w:rPr>
              <w:t>Специализация нестационарного торгового объекта</w:t>
            </w:r>
          </w:p>
        </w:tc>
        <w:tc>
          <w:tcPr>
            <w:tcW w:w="1388" w:type="dxa"/>
            <w:tcMar>
              <w:top w:w="15" w:type="dxa"/>
              <w:left w:w="149" w:type="dxa"/>
              <w:bottom w:w="15" w:type="dxa"/>
              <w:right w:w="149" w:type="dxa"/>
            </w:tcMar>
            <w:hideMark/>
          </w:tcPr>
          <w:p w:rsidR="00756565" w:rsidRPr="00632FE0" w:rsidRDefault="00756565" w:rsidP="009864BF">
            <w:pPr>
              <w:jc w:val="center"/>
              <w:rPr>
                <w:sz w:val="22"/>
                <w:szCs w:val="22"/>
              </w:rPr>
            </w:pPr>
            <w:r w:rsidRPr="00632FE0">
              <w:rPr>
                <w:sz w:val="22"/>
                <w:szCs w:val="22"/>
              </w:rPr>
              <w:t xml:space="preserve">Период размещения нестационарного торгового объекта </w:t>
            </w:r>
          </w:p>
        </w:tc>
        <w:tc>
          <w:tcPr>
            <w:tcW w:w="820" w:type="dxa"/>
          </w:tcPr>
          <w:p w:rsidR="00756565" w:rsidRPr="00632FE0" w:rsidRDefault="00756565" w:rsidP="009864BF">
            <w:pPr>
              <w:jc w:val="center"/>
              <w:rPr>
                <w:sz w:val="22"/>
                <w:szCs w:val="22"/>
              </w:rPr>
            </w:pPr>
            <w:r w:rsidRPr="00632FE0">
              <w:rPr>
                <w:sz w:val="22"/>
                <w:szCs w:val="22"/>
              </w:rPr>
              <w:t>Площадь нестационарного торгового объекта, кв. м</w:t>
            </w:r>
          </w:p>
        </w:tc>
        <w:tc>
          <w:tcPr>
            <w:tcW w:w="947" w:type="dxa"/>
          </w:tcPr>
          <w:p w:rsidR="00756565" w:rsidRPr="00632FE0" w:rsidRDefault="00756565" w:rsidP="009864BF">
            <w:pPr>
              <w:jc w:val="center"/>
              <w:rPr>
                <w:sz w:val="22"/>
                <w:szCs w:val="22"/>
              </w:rPr>
            </w:pPr>
            <w:r w:rsidRPr="00632FE0">
              <w:rPr>
                <w:sz w:val="22"/>
                <w:szCs w:val="22"/>
              </w:rPr>
              <w:t>Начальная (минимальная) цена по договору/руб.</w:t>
            </w:r>
          </w:p>
        </w:tc>
      </w:tr>
      <w:tr w:rsidR="00756565" w:rsidRPr="00632FE0" w:rsidTr="009864BF">
        <w:trPr>
          <w:tblCellSpacing w:w="15" w:type="dxa"/>
        </w:trPr>
        <w:tc>
          <w:tcPr>
            <w:tcW w:w="428" w:type="dxa"/>
            <w:tcMar>
              <w:top w:w="15" w:type="dxa"/>
              <w:left w:w="149" w:type="dxa"/>
              <w:bottom w:w="15" w:type="dxa"/>
              <w:right w:w="149" w:type="dxa"/>
            </w:tcMar>
            <w:hideMark/>
          </w:tcPr>
          <w:p w:rsidR="00756565" w:rsidRPr="00632FE0" w:rsidRDefault="00756565" w:rsidP="009864BF">
            <w:pPr>
              <w:spacing w:before="100" w:beforeAutospacing="1" w:after="100" w:afterAutospacing="1"/>
              <w:jc w:val="center"/>
              <w:rPr>
                <w:sz w:val="22"/>
                <w:szCs w:val="22"/>
              </w:rPr>
            </w:pPr>
            <w:r w:rsidRPr="00632FE0">
              <w:rPr>
                <w:sz w:val="22"/>
                <w:szCs w:val="22"/>
              </w:rPr>
              <w:t>1.</w:t>
            </w:r>
          </w:p>
        </w:tc>
        <w:tc>
          <w:tcPr>
            <w:tcW w:w="2380" w:type="dxa"/>
            <w:tcMar>
              <w:top w:w="15" w:type="dxa"/>
              <w:left w:w="149" w:type="dxa"/>
              <w:bottom w:w="15" w:type="dxa"/>
              <w:right w:w="149" w:type="dxa"/>
            </w:tcMar>
            <w:hideMark/>
          </w:tcPr>
          <w:p w:rsidR="00756565" w:rsidRPr="00632FE0" w:rsidRDefault="00756565" w:rsidP="009864BF">
            <w:pPr>
              <w:spacing w:before="100" w:beforeAutospacing="1" w:after="100" w:afterAutospacing="1"/>
              <w:jc w:val="center"/>
              <w:rPr>
                <w:sz w:val="22"/>
                <w:szCs w:val="22"/>
              </w:rPr>
            </w:pPr>
            <w:r w:rsidRPr="00632FE0">
              <w:rPr>
                <w:sz w:val="22"/>
                <w:szCs w:val="22"/>
              </w:rPr>
              <w:t>2.</w:t>
            </w:r>
          </w:p>
        </w:tc>
        <w:tc>
          <w:tcPr>
            <w:tcW w:w="1813" w:type="dxa"/>
            <w:tcMar>
              <w:top w:w="15" w:type="dxa"/>
              <w:left w:w="149" w:type="dxa"/>
              <w:bottom w:w="15" w:type="dxa"/>
              <w:right w:w="149" w:type="dxa"/>
            </w:tcMar>
            <w:hideMark/>
          </w:tcPr>
          <w:p w:rsidR="00756565" w:rsidRPr="00632FE0" w:rsidRDefault="00756565" w:rsidP="009864BF">
            <w:pPr>
              <w:spacing w:before="100" w:beforeAutospacing="1" w:after="100" w:afterAutospacing="1"/>
              <w:jc w:val="center"/>
              <w:rPr>
                <w:sz w:val="22"/>
                <w:szCs w:val="22"/>
              </w:rPr>
            </w:pPr>
            <w:r w:rsidRPr="00632FE0">
              <w:rPr>
                <w:sz w:val="22"/>
                <w:szCs w:val="22"/>
              </w:rPr>
              <w:t>3.</w:t>
            </w:r>
          </w:p>
        </w:tc>
        <w:tc>
          <w:tcPr>
            <w:tcW w:w="1812" w:type="dxa"/>
            <w:tcMar>
              <w:top w:w="15" w:type="dxa"/>
              <w:left w:w="149" w:type="dxa"/>
              <w:bottom w:w="15" w:type="dxa"/>
              <w:right w:w="149" w:type="dxa"/>
            </w:tcMar>
            <w:hideMark/>
          </w:tcPr>
          <w:p w:rsidR="00756565" w:rsidRPr="00632FE0" w:rsidRDefault="00756565" w:rsidP="009864BF">
            <w:pPr>
              <w:spacing w:before="100" w:beforeAutospacing="1" w:after="100" w:afterAutospacing="1"/>
              <w:jc w:val="center"/>
              <w:rPr>
                <w:sz w:val="22"/>
                <w:szCs w:val="22"/>
              </w:rPr>
            </w:pPr>
            <w:r w:rsidRPr="00632FE0">
              <w:rPr>
                <w:sz w:val="22"/>
                <w:szCs w:val="22"/>
              </w:rPr>
              <w:t>4.</w:t>
            </w:r>
          </w:p>
        </w:tc>
        <w:tc>
          <w:tcPr>
            <w:tcW w:w="1388" w:type="dxa"/>
            <w:tcMar>
              <w:top w:w="15" w:type="dxa"/>
              <w:left w:w="149" w:type="dxa"/>
              <w:bottom w:w="15" w:type="dxa"/>
              <w:right w:w="149" w:type="dxa"/>
            </w:tcMar>
            <w:hideMark/>
          </w:tcPr>
          <w:p w:rsidR="00756565" w:rsidRPr="00632FE0" w:rsidRDefault="00756565" w:rsidP="009864BF">
            <w:pPr>
              <w:spacing w:before="100" w:beforeAutospacing="1" w:after="100" w:afterAutospacing="1"/>
              <w:jc w:val="center"/>
              <w:rPr>
                <w:sz w:val="22"/>
                <w:szCs w:val="22"/>
              </w:rPr>
            </w:pPr>
            <w:r w:rsidRPr="00632FE0">
              <w:rPr>
                <w:sz w:val="22"/>
                <w:szCs w:val="22"/>
              </w:rPr>
              <w:t>6</w:t>
            </w:r>
          </w:p>
        </w:tc>
        <w:tc>
          <w:tcPr>
            <w:tcW w:w="820" w:type="dxa"/>
          </w:tcPr>
          <w:p w:rsidR="00756565" w:rsidRPr="00632FE0" w:rsidRDefault="00756565" w:rsidP="009864BF">
            <w:pPr>
              <w:spacing w:before="100" w:beforeAutospacing="1" w:after="100" w:afterAutospacing="1"/>
              <w:jc w:val="center"/>
              <w:rPr>
                <w:sz w:val="22"/>
                <w:szCs w:val="22"/>
              </w:rPr>
            </w:pPr>
            <w:r w:rsidRPr="00632FE0">
              <w:rPr>
                <w:sz w:val="22"/>
                <w:szCs w:val="22"/>
              </w:rPr>
              <w:t>8</w:t>
            </w:r>
          </w:p>
        </w:tc>
        <w:tc>
          <w:tcPr>
            <w:tcW w:w="947" w:type="dxa"/>
          </w:tcPr>
          <w:p w:rsidR="00756565" w:rsidRPr="00632FE0" w:rsidRDefault="00756565" w:rsidP="009864BF">
            <w:pPr>
              <w:spacing w:before="100" w:beforeAutospacing="1" w:after="100" w:afterAutospacing="1"/>
              <w:jc w:val="center"/>
              <w:rPr>
                <w:sz w:val="22"/>
                <w:szCs w:val="22"/>
              </w:rPr>
            </w:pPr>
          </w:p>
        </w:tc>
      </w:tr>
      <w:tr w:rsidR="00756565" w:rsidRPr="00632FE0" w:rsidTr="009864BF">
        <w:trPr>
          <w:trHeight w:val="1095"/>
          <w:tblCellSpacing w:w="15" w:type="dxa"/>
        </w:trPr>
        <w:tc>
          <w:tcPr>
            <w:tcW w:w="428" w:type="dxa"/>
            <w:vMerge w:val="restart"/>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val="restart"/>
            <w:tcMar>
              <w:top w:w="15" w:type="dxa"/>
              <w:left w:w="149" w:type="dxa"/>
              <w:bottom w:w="15" w:type="dxa"/>
              <w:right w:w="149" w:type="dxa"/>
            </w:tcMar>
            <w:vAlign w:val="center"/>
            <w:hideMark/>
          </w:tcPr>
          <w:p w:rsidR="00756565" w:rsidRPr="00632FE0" w:rsidRDefault="00756565" w:rsidP="009864BF">
            <w:pPr>
              <w:ind w:left="-174" w:right="-174"/>
              <w:rPr>
                <w:sz w:val="22"/>
                <w:szCs w:val="22"/>
              </w:rPr>
            </w:pPr>
            <w:r w:rsidRPr="00632FE0">
              <w:rPr>
                <w:sz w:val="22"/>
                <w:szCs w:val="22"/>
              </w:rPr>
              <w:t xml:space="preserve">Ул. </w:t>
            </w:r>
            <w:proofErr w:type="gramStart"/>
            <w:r w:rsidRPr="00632FE0">
              <w:rPr>
                <w:sz w:val="22"/>
                <w:szCs w:val="22"/>
              </w:rPr>
              <w:t>Коммунистическая</w:t>
            </w:r>
            <w:proofErr w:type="gramEnd"/>
            <w:r w:rsidRPr="00632FE0">
              <w:rPr>
                <w:sz w:val="22"/>
                <w:szCs w:val="22"/>
              </w:rPr>
              <w:t>, напротив дома 104</w:t>
            </w:r>
          </w:p>
        </w:tc>
        <w:tc>
          <w:tcPr>
            <w:tcW w:w="1813" w:type="dxa"/>
            <w:vMerge w:val="restart"/>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p w:rsidR="00756565" w:rsidRPr="00632FE0" w:rsidRDefault="00756565" w:rsidP="009864BF">
            <w:pPr>
              <w:tabs>
                <w:tab w:val="left" w:pos="1243"/>
              </w:tabs>
              <w:ind w:left="-104" w:right="-174"/>
              <w:rPr>
                <w:sz w:val="22"/>
                <w:szCs w:val="22"/>
              </w:rPr>
            </w:pPr>
          </w:p>
        </w:tc>
        <w:tc>
          <w:tcPr>
            <w:tcW w:w="1812" w:type="dxa"/>
            <w:tcBorders>
              <w:bottom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 xml:space="preserve">в летнее время </w:t>
            </w:r>
            <w:proofErr w:type="gramStart"/>
            <w:r w:rsidRPr="00632FE0">
              <w:rPr>
                <w:sz w:val="22"/>
                <w:szCs w:val="22"/>
              </w:rPr>
              <w:t>-т</w:t>
            </w:r>
            <w:proofErr w:type="gramEnd"/>
            <w:r w:rsidRPr="00632FE0">
              <w:rPr>
                <w:sz w:val="22"/>
                <w:szCs w:val="22"/>
              </w:rPr>
              <w:t>орговля   безалкогольными прохладительными напитками  и (или)</w:t>
            </w:r>
          </w:p>
          <w:p w:rsidR="00756565" w:rsidRPr="00632FE0" w:rsidRDefault="00756565" w:rsidP="009864BF">
            <w:pPr>
              <w:ind w:left="-129" w:right="-162"/>
              <w:rPr>
                <w:sz w:val="22"/>
                <w:szCs w:val="22"/>
              </w:rPr>
            </w:pPr>
            <w:r w:rsidRPr="00632FE0">
              <w:rPr>
                <w:sz w:val="22"/>
                <w:szCs w:val="22"/>
              </w:rPr>
              <w:t>бахчевыми культурами</w:t>
            </w:r>
          </w:p>
        </w:tc>
        <w:tc>
          <w:tcPr>
            <w:tcW w:w="1388" w:type="dxa"/>
            <w:vMerge w:val="restart"/>
            <w:hideMark/>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01.07.2023 – 01.11.2023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15.12.2023 – 31.12.2023</w:t>
            </w:r>
          </w:p>
        </w:tc>
        <w:tc>
          <w:tcPr>
            <w:tcW w:w="820" w:type="dxa"/>
            <w:vMerge w:val="restart"/>
          </w:tcPr>
          <w:p w:rsidR="00756565" w:rsidRPr="00632FE0" w:rsidRDefault="00756565" w:rsidP="009864BF">
            <w:pPr>
              <w:jc w:val="center"/>
              <w:rPr>
                <w:sz w:val="22"/>
                <w:szCs w:val="22"/>
              </w:rPr>
            </w:pPr>
            <w:r w:rsidRPr="00632FE0">
              <w:rPr>
                <w:sz w:val="22"/>
                <w:szCs w:val="22"/>
              </w:rPr>
              <w:t>30</w:t>
            </w:r>
          </w:p>
        </w:tc>
        <w:tc>
          <w:tcPr>
            <w:tcW w:w="947" w:type="dxa"/>
          </w:tcPr>
          <w:p w:rsidR="00756565" w:rsidRPr="00632FE0" w:rsidRDefault="00756565" w:rsidP="009864BF">
            <w:pPr>
              <w:jc w:val="center"/>
              <w:rPr>
                <w:sz w:val="22"/>
                <w:szCs w:val="22"/>
              </w:rPr>
            </w:pPr>
          </w:p>
          <w:p w:rsidR="00756565" w:rsidRPr="00632FE0" w:rsidRDefault="00756565" w:rsidP="009864BF">
            <w:pPr>
              <w:jc w:val="center"/>
              <w:rPr>
                <w:sz w:val="22"/>
                <w:szCs w:val="22"/>
              </w:rPr>
            </w:pPr>
          </w:p>
          <w:p w:rsidR="00756565" w:rsidRPr="00632FE0" w:rsidRDefault="00756565" w:rsidP="009864BF">
            <w:pPr>
              <w:jc w:val="center"/>
              <w:rPr>
                <w:sz w:val="22"/>
                <w:szCs w:val="22"/>
              </w:rPr>
            </w:pPr>
          </w:p>
          <w:p w:rsidR="00756565" w:rsidRPr="00632FE0" w:rsidRDefault="00756565" w:rsidP="009864BF">
            <w:pPr>
              <w:jc w:val="center"/>
              <w:rPr>
                <w:sz w:val="22"/>
                <w:szCs w:val="22"/>
              </w:rPr>
            </w:pPr>
          </w:p>
          <w:p w:rsidR="00756565" w:rsidRPr="00632FE0" w:rsidRDefault="00756565" w:rsidP="009864BF">
            <w:pPr>
              <w:rPr>
                <w:sz w:val="22"/>
                <w:szCs w:val="22"/>
              </w:rPr>
            </w:pPr>
            <w:r w:rsidRPr="00632FE0">
              <w:rPr>
                <w:sz w:val="22"/>
                <w:szCs w:val="22"/>
              </w:rPr>
              <w:t>20517,55</w:t>
            </w: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16 414,04</w:t>
            </w:r>
          </w:p>
        </w:tc>
      </w:tr>
      <w:tr w:rsidR="00756565" w:rsidRPr="00632FE0" w:rsidTr="009864BF">
        <w:trPr>
          <w:trHeight w:val="597"/>
          <w:tblCellSpacing w:w="15" w:type="dxa"/>
        </w:trPr>
        <w:tc>
          <w:tcPr>
            <w:tcW w:w="428" w:type="dxa"/>
            <w:vMerge/>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tcMar>
              <w:top w:w="15" w:type="dxa"/>
              <w:left w:w="149" w:type="dxa"/>
              <w:bottom w:w="15" w:type="dxa"/>
              <w:right w:w="149" w:type="dxa"/>
            </w:tcMar>
            <w:vAlign w:val="center"/>
            <w:hideMark/>
          </w:tcPr>
          <w:p w:rsidR="00756565" w:rsidRPr="00632FE0" w:rsidRDefault="00756565" w:rsidP="009864BF">
            <w:pPr>
              <w:ind w:left="-32" w:right="-174"/>
              <w:rPr>
                <w:sz w:val="22"/>
                <w:szCs w:val="22"/>
              </w:rPr>
            </w:pPr>
          </w:p>
        </w:tc>
        <w:tc>
          <w:tcPr>
            <w:tcW w:w="1813" w:type="dxa"/>
            <w:vMerge/>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p>
        </w:tc>
        <w:tc>
          <w:tcPr>
            <w:tcW w:w="1812" w:type="dxa"/>
            <w:vMerge w:val="restart"/>
            <w:tcBorders>
              <w:top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в зимнее время елочный базар</w:t>
            </w:r>
          </w:p>
        </w:tc>
        <w:tc>
          <w:tcPr>
            <w:tcW w:w="1388" w:type="dxa"/>
            <w:vMerge/>
            <w:tcBorders>
              <w:bottom w:val="nil"/>
            </w:tcBorders>
            <w:vAlign w:val="center"/>
            <w:hideMark/>
          </w:tcPr>
          <w:p w:rsidR="00756565" w:rsidRPr="00632FE0" w:rsidRDefault="00756565" w:rsidP="009864BF">
            <w:pPr>
              <w:jc w:val="center"/>
              <w:rPr>
                <w:sz w:val="22"/>
                <w:szCs w:val="22"/>
              </w:rPr>
            </w:pPr>
          </w:p>
        </w:tc>
        <w:tc>
          <w:tcPr>
            <w:tcW w:w="820" w:type="dxa"/>
            <w:vMerge/>
            <w:tcBorders>
              <w:bottom w:val="nil"/>
            </w:tcBorders>
          </w:tcPr>
          <w:p w:rsidR="00756565" w:rsidRPr="00632FE0" w:rsidRDefault="00756565" w:rsidP="009864BF">
            <w:pPr>
              <w:jc w:val="center"/>
              <w:rPr>
                <w:sz w:val="22"/>
                <w:szCs w:val="22"/>
              </w:rPr>
            </w:pPr>
          </w:p>
        </w:tc>
        <w:tc>
          <w:tcPr>
            <w:tcW w:w="947" w:type="dxa"/>
            <w:tcBorders>
              <w:bottom w:val="nil"/>
            </w:tcBorders>
          </w:tcPr>
          <w:p w:rsidR="00756565" w:rsidRPr="00632FE0" w:rsidRDefault="00756565" w:rsidP="009864BF">
            <w:pPr>
              <w:jc w:val="center"/>
              <w:rPr>
                <w:sz w:val="22"/>
                <w:szCs w:val="22"/>
              </w:rPr>
            </w:pPr>
          </w:p>
          <w:p w:rsidR="00756565" w:rsidRPr="00632FE0" w:rsidRDefault="00756565" w:rsidP="009864BF">
            <w:pPr>
              <w:rPr>
                <w:sz w:val="22"/>
                <w:szCs w:val="22"/>
              </w:rPr>
            </w:pPr>
            <w:r w:rsidRPr="00632FE0">
              <w:rPr>
                <w:sz w:val="22"/>
                <w:szCs w:val="22"/>
              </w:rPr>
              <w:t>2051,76</w:t>
            </w:r>
          </w:p>
        </w:tc>
      </w:tr>
      <w:tr w:rsidR="00756565" w:rsidRPr="00632FE0" w:rsidTr="009864BF">
        <w:trPr>
          <w:trHeight w:val="20"/>
          <w:tblCellSpacing w:w="15" w:type="dxa"/>
        </w:trPr>
        <w:tc>
          <w:tcPr>
            <w:tcW w:w="428" w:type="dxa"/>
            <w:vMerge/>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tcMar>
              <w:top w:w="15" w:type="dxa"/>
              <w:left w:w="149" w:type="dxa"/>
              <w:bottom w:w="15" w:type="dxa"/>
              <w:right w:w="149" w:type="dxa"/>
            </w:tcMar>
            <w:vAlign w:val="center"/>
            <w:hideMark/>
          </w:tcPr>
          <w:p w:rsidR="00756565" w:rsidRPr="00632FE0" w:rsidRDefault="00756565" w:rsidP="009864BF">
            <w:pPr>
              <w:ind w:left="-32" w:right="-174"/>
              <w:rPr>
                <w:sz w:val="22"/>
                <w:szCs w:val="22"/>
              </w:rPr>
            </w:pPr>
          </w:p>
        </w:tc>
        <w:tc>
          <w:tcPr>
            <w:tcW w:w="1813" w:type="dxa"/>
            <w:vMerge/>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p>
        </w:tc>
        <w:tc>
          <w:tcPr>
            <w:tcW w:w="1812" w:type="dxa"/>
            <w:vMerge/>
            <w:tcMar>
              <w:top w:w="15" w:type="dxa"/>
              <w:left w:w="149" w:type="dxa"/>
              <w:bottom w:w="15" w:type="dxa"/>
              <w:right w:w="149" w:type="dxa"/>
            </w:tcMar>
            <w:hideMark/>
          </w:tcPr>
          <w:p w:rsidR="00756565" w:rsidRPr="00632FE0" w:rsidRDefault="00756565" w:rsidP="009864BF">
            <w:pPr>
              <w:ind w:left="-129" w:right="-162"/>
              <w:rPr>
                <w:sz w:val="22"/>
                <w:szCs w:val="22"/>
              </w:rPr>
            </w:pPr>
          </w:p>
        </w:tc>
        <w:tc>
          <w:tcPr>
            <w:tcW w:w="1388" w:type="dxa"/>
            <w:tcBorders>
              <w:top w:val="nil"/>
            </w:tcBorders>
            <w:vAlign w:val="center"/>
            <w:hideMark/>
          </w:tcPr>
          <w:p w:rsidR="00756565" w:rsidRPr="00632FE0" w:rsidRDefault="00756565" w:rsidP="009864BF">
            <w:pPr>
              <w:jc w:val="center"/>
              <w:rPr>
                <w:sz w:val="22"/>
                <w:szCs w:val="22"/>
              </w:rPr>
            </w:pPr>
          </w:p>
        </w:tc>
        <w:tc>
          <w:tcPr>
            <w:tcW w:w="820" w:type="dxa"/>
            <w:tcBorders>
              <w:top w:val="nil"/>
            </w:tcBorders>
          </w:tcPr>
          <w:p w:rsidR="00756565" w:rsidRPr="00632FE0" w:rsidRDefault="00756565" w:rsidP="009864BF">
            <w:pPr>
              <w:jc w:val="center"/>
              <w:rPr>
                <w:sz w:val="22"/>
                <w:szCs w:val="22"/>
              </w:rPr>
            </w:pPr>
          </w:p>
        </w:tc>
        <w:tc>
          <w:tcPr>
            <w:tcW w:w="947" w:type="dxa"/>
            <w:tcBorders>
              <w:top w:val="nil"/>
            </w:tcBorders>
          </w:tcPr>
          <w:p w:rsidR="00756565" w:rsidRPr="00632FE0" w:rsidRDefault="00756565" w:rsidP="009864BF">
            <w:pPr>
              <w:jc w:val="center"/>
              <w:rPr>
                <w:sz w:val="22"/>
                <w:szCs w:val="22"/>
              </w:rPr>
            </w:pPr>
          </w:p>
        </w:tc>
      </w:tr>
      <w:tr w:rsidR="00756565" w:rsidRPr="00632FE0" w:rsidTr="009864BF">
        <w:trPr>
          <w:trHeight w:val="1050"/>
          <w:tblCellSpacing w:w="15" w:type="dxa"/>
        </w:trPr>
        <w:tc>
          <w:tcPr>
            <w:tcW w:w="428" w:type="dxa"/>
            <w:vMerge w:val="restart"/>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val="restart"/>
            <w:tcMar>
              <w:top w:w="15" w:type="dxa"/>
              <w:left w:w="149" w:type="dxa"/>
              <w:bottom w:w="15" w:type="dxa"/>
              <w:right w:w="149" w:type="dxa"/>
            </w:tcMar>
            <w:vAlign w:val="center"/>
          </w:tcPr>
          <w:p w:rsidR="00756565" w:rsidRPr="00632FE0" w:rsidRDefault="00756565" w:rsidP="009864BF">
            <w:pPr>
              <w:ind w:left="-32" w:right="-174"/>
              <w:rPr>
                <w:sz w:val="22"/>
                <w:szCs w:val="22"/>
              </w:rPr>
            </w:pPr>
            <w:r w:rsidRPr="00632FE0">
              <w:rPr>
                <w:sz w:val="22"/>
                <w:szCs w:val="22"/>
              </w:rPr>
              <w:t>Ул. Кускова, возле д. 63 напротив ТЦ «Магнит»</w:t>
            </w:r>
          </w:p>
        </w:tc>
        <w:tc>
          <w:tcPr>
            <w:tcW w:w="1813" w:type="dxa"/>
            <w:vMerge w:val="restart"/>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Borders>
              <w:bottom w:val="single" w:sz="4" w:space="0" w:color="auto"/>
            </w:tcBorders>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 xml:space="preserve">в летнее время </w:t>
            </w:r>
            <w:proofErr w:type="gramStart"/>
            <w:r w:rsidRPr="00632FE0">
              <w:rPr>
                <w:sz w:val="22"/>
                <w:szCs w:val="22"/>
              </w:rPr>
              <w:t>-т</w:t>
            </w:r>
            <w:proofErr w:type="gramEnd"/>
            <w:r w:rsidRPr="00632FE0">
              <w:rPr>
                <w:sz w:val="22"/>
                <w:szCs w:val="22"/>
              </w:rPr>
              <w:t>орговля   безалкогольными прохладительными напитками  и (или)</w:t>
            </w:r>
          </w:p>
          <w:p w:rsidR="00756565" w:rsidRPr="00632FE0" w:rsidRDefault="00756565" w:rsidP="009864BF">
            <w:pPr>
              <w:ind w:left="-129" w:right="-162"/>
              <w:rPr>
                <w:sz w:val="22"/>
                <w:szCs w:val="22"/>
              </w:rPr>
            </w:pPr>
            <w:r w:rsidRPr="00632FE0">
              <w:rPr>
                <w:sz w:val="22"/>
                <w:szCs w:val="22"/>
              </w:rPr>
              <w:t>бахчевыми культурами</w:t>
            </w:r>
          </w:p>
        </w:tc>
        <w:tc>
          <w:tcPr>
            <w:tcW w:w="1388" w:type="dxa"/>
            <w:vMerge w:val="restart"/>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01.07.2023 – 01.11.2023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15.12.2023 – 31.12.2023</w:t>
            </w:r>
          </w:p>
        </w:tc>
        <w:tc>
          <w:tcPr>
            <w:tcW w:w="820" w:type="dxa"/>
            <w:vMerge w:val="restart"/>
          </w:tcPr>
          <w:p w:rsidR="00756565" w:rsidRPr="00632FE0" w:rsidRDefault="00756565" w:rsidP="009864BF">
            <w:pPr>
              <w:rPr>
                <w:sz w:val="22"/>
                <w:szCs w:val="22"/>
              </w:rPr>
            </w:pPr>
            <w:r w:rsidRPr="00632FE0">
              <w:rPr>
                <w:sz w:val="22"/>
                <w:szCs w:val="22"/>
              </w:rPr>
              <w:t>30</w:t>
            </w:r>
          </w:p>
        </w:tc>
        <w:tc>
          <w:tcPr>
            <w:tcW w:w="947" w:type="dxa"/>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20517,55</w:t>
            </w: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16 414,04</w:t>
            </w:r>
          </w:p>
        </w:tc>
      </w:tr>
      <w:tr w:rsidR="00756565" w:rsidRPr="00632FE0" w:rsidTr="009864BF">
        <w:trPr>
          <w:trHeight w:val="210"/>
          <w:tblCellSpacing w:w="15" w:type="dxa"/>
        </w:trPr>
        <w:tc>
          <w:tcPr>
            <w:tcW w:w="428" w:type="dxa"/>
            <w:vMerge/>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tcMar>
              <w:top w:w="15" w:type="dxa"/>
              <w:left w:w="149" w:type="dxa"/>
              <w:bottom w:w="15" w:type="dxa"/>
              <w:right w:w="149" w:type="dxa"/>
            </w:tcMar>
            <w:vAlign w:val="center"/>
          </w:tcPr>
          <w:p w:rsidR="00756565" w:rsidRPr="00632FE0" w:rsidRDefault="00756565" w:rsidP="009864BF">
            <w:pPr>
              <w:ind w:left="-32" w:right="-174"/>
              <w:rPr>
                <w:sz w:val="22"/>
                <w:szCs w:val="22"/>
              </w:rPr>
            </w:pPr>
          </w:p>
        </w:tc>
        <w:tc>
          <w:tcPr>
            <w:tcW w:w="1813" w:type="dxa"/>
            <w:vMerge/>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p>
        </w:tc>
        <w:tc>
          <w:tcPr>
            <w:tcW w:w="1812" w:type="dxa"/>
            <w:tcBorders>
              <w:top w:val="single" w:sz="4" w:space="0" w:color="auto"/>
            </w:tcBorders>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зимнее время елочный базар</w:t>
            </w:r>
          </w:p>
        </w:tc>
        <w:tc>
          <w:tcPr>
            <w:tcW w:w="1388" w:type="dxa"/>
            <w:vMerge/>
          </w:tcPr>
          <w:p w:rsidR="00756565" w:rsidRPr="00632FE0" w:rsidRDefault="00756565" w:rsidP="009864BF">
            <w:pPr>
              <w:jc w:val="center"/>
              <w:rPr>
                <w:sz w:val="22"/>
                <w:szCs w:val="22"/>
              </w:rPr>
            </w:pPr>
          </w:p>
        </w:tc>
        <w:tc>
          <w:tcPr>
            <w:tcW w:w="820" w:type="dxa"/>
            <w:vMerge/>
          </w:tcPr>
          <w:p w:rsidR="00756565" w:rsidRPr="00632FE0" w:rsidRDefault="00756565" w:rsidP="009864BF">
            <w:pPr>
              <w:jc w:val="center"/>
              <w:rPr>
                <w:sz w:val="22"/>
                <w:szCs w:val="22"/>
              </w:rPr>
            </w:pPr>
          </w:p>
        </w:tc>
        <w:tc>
          <w:tcPr>
            <w:tcW w:w="947" w:type="dxa"/>
          </w:tcPr>
          <w:p w:rsidR="00756565" w:rsidRPr="00632FE0" w:rsidRDefault="00756565" w:rsidP="009864BF">
            <w:pPr>
              <w:jc w:val="center"/>
              <w:rPr>
                <w:sz w:val="22"/>
                <w:szCs w:val="22"/>
              </w:rPr>
            </w:pPr>
          </w:p>
          <w:p w:rsidR="00756565" w:rsidRPr="00632FE0" w:rsidRDefault="00756565" w:rsidP="009864BF">
            <w:pPr>
              <w:jc w:val="center"/>
              <w:rPr>
                <w:sz w:val="22"/>
                <w:szCs w:val="22"/>
              </w:rPr>
            </w:pPr>
            <w:r w:rsidRPr="00632FE0">
              <w:rPr>
                <w:sz w:val="22"/>
                <w:szCs w:val="22"/>
              </w:rPr>
              <w:t>2051,76</w:t>
            </w:r>
          </w:p>
        </w:tc>
      </w:tr>
      <w:tr w:rsidR="00756565" w:rsidRPr="00632FE0" w:rsidTr="009864BF">
        <w:trPr>
          <w:trHeight w:val="788"/>
          <w:tblCellSpacing w:w="15" w:type="dxa"/>
        </w:trPr>
        <w:tc>
          <w:tcPr>
            <w:tcW w:w="428" w:type="dxa"/>
            <w:vMerge w:val="restart"/>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val="restart"/>
            <w:tcMar>
              <w:top w:w="15" w:type="dxa"/>
              <w:left w:w="149" w:type="dxa"/>
              <w:bottom w:w="15" w:type="dxa"/>
              <w:right w:w="149" w:type="dxa"/>
            </w:tcMar>
            <w:vAlign w:val="center"/>
          </w:tcPr>
          <w:p w:rsidR="00756565" w:rsidRPr="00632FE0" w:rsidRDefault="00756565" w:rsidP="009864BF">
            <w:pPr>
              <w:ind w:left="-32" w:right="-174"/>
              <w:rPr>
                <w:sz w:val="22"/>
                <w:szCs w:val="22"/>
              </w:rPr>
            </w:pPr>
            <w:r w:rsidRPr="00632FE0">
              <w:rPr>
                <w:sz w:val="22"/>
                <w:szCs w:val="22"/>
              </w:rPr>
              <w:t>Ул. Дружбы, площадка у рынка</w:t>
            </w:r>
          </w:p>
        </w:tc>
        <w:tc>
          <w:tcPr>
            <w:tcW w:w="1813" w:type="dxa"/>
            <w:vMerge w:val="restart"/>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Borders>
              <w:bottom w:val="single" w:sz="4" w:space="0" w:color="auto"/>
            </w:tcBorders>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 xml:space="preserve">в летнее время </w:t>
            </w:r>
            <w:proofErr w:type="gramStart"/>
            <w:r w:rsidRPr="00632FE0">
              <w:rPr>
                <w:sz w:val="22"/>
                <w:szCs w:val="22"/>
              </w:rPr>
              <w:t>-т</w:t>
            </w:r>
            <w:proofErr w:type="gramEnd"/>
            <w:r w:rsidRPr="00632FE0">
              <w:rPr>
                <w:sz w:val="22"/>
                <w:szCs w:val="22"/>
              </w:rPr>
              <w:t xml:space="preserve">орговля   безалкогольными прохладительными напитками  и </w:t>
            </w:r>
            <w:r w:rsidRPr="00632FE0">
              <w:rPr>
                <w:sz w:val="22"/>
                <w:szCs w:val="22"/>
              </w:rPr>
              <w:lastRenderedPageBreak/>
              <w:t>(или)</w:t>
            </w:r>
          </w:p>
          <w:p w:rsidR="00756565" w:rsidRPr="00632FE0" w:rsidRDefault="00756565" w:rsidP="009864BF">
            <w:pPr>
              <w:ind w:left="-129" w:right="-162"/>
              <w:rPr>
                <w:sz w:val="22"/>
                <w:szCs w:val="22"/>
              </w:rPr>
            </w:pPr>
            <w:r w:rsidRPr="00632FE0">
              <w:rPr>
                <w:sz w:val="22"/>
                <w:szCs w:val="22"/>
              </w:rPr>
              <w:t>бахчевыми культурами</w:t>
            </w:r>
          </w:p>
        </w:tc>
        <w:tc>
          <w:tcPr>
            <w:tcW w:w="1388" w:type="dxa"/>
            <w:vMerge w:val="restart"/>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01.07.2023 – 01.11.2023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15.12.2023 – 31.12.2023</w:t>
            </w:r>
          </w:p>
        </w:tc>
        <w:tc>
          <w:tcPr>
            <w:tcW w:w="820" w:type="dxa"/>
            <w:vMerge w:val="restart"/>
          </w:tcPr>
          <w:p w:rsidR="00756565" w:rsidRPr="00632FE0" w:rsidRDefault="00756565" w:rsidP="009864BF">
            <w:pPr>
              <w:rPr>
                <w:sz w:val="22"/>
                <w:szCs w:val="22"/>
              </w:rPr>
            </w:pPr>
            <w:r w:rsidRPr="00632FE0">
              <w:rPr>
                <w:sz w:val="22"/>
                <w:szCs w:val="22"/>
              </w:rPr>
              <w:lastRenderedPageBreak/>
              <w:t>30</w:t>
            </w:r>
          </w:p>
        </w:tc>
        <w:tc>
          <w:tcPr>
            <w:tcW w:w="947" w:type="dxa"/>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18 465,80</w:t>
            </w: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11 079,48</w:t>
            </w:r>
          </w:p>
        </w:tc>
      </w:tr>
      <w:tr w:rsidR="00756565" w:rsidRPr="00632FE0" w:rsidTr="009864BF">
        <w:trPr>
          <w:trHeight w:val="200"/>
          <w:tblCellSpacing w:w="15" w:type="dxa"/>
        </w:trPr>
        <w:tc>
          <w:tcPr>
            <w:tcW w:w="428" w:type="dxa"/>
            <w:vMerge/>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tcMar>
              <w:top w:w="15" w:type="dxa"/>
              <w:left w:w="149" w:type="dxa"/>
              <w:bottom w:w="15" w:type="dxa"/>
              <w:right w:w="149" w:type="dxa"/>
            </w:tcMar>
            <w:vAlign w:val="center"/>
          </w:tcPr>
          <w:p w:rsidR="00756565" w:rsidRPr="00632FE0" w:rsidRDefault="00756565" w:rsidP="009864BF">
            <w:pPr>
              <w:ind w:left="-32" w:right="-174"/>
              <w:rPr>
                <w:sz w:val="22"/>
                <w:szCs w:val="22"/>
              </w:rPr>
            </w:pPr>
          </w:p>
        </w:tc>
        <w:tc>
          <w:tcPr>
            <w:tcW w:w="1813" w:type="dxa"/>
            <w:vMerge/>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p>
        </w:tc>
        <w:tc>
          <w:tcPr>
            <w:tcW w:w="1812" w:type="dxa"/>
            <w:tcBorders>
              <w:top w:val="single" w:sz="4" w:space="0" w:color="auto"/>
              <w:bottom w:val="single" w:sz="4" w:space="0" w:color="auto"/>
            </w:tcBorders>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зимнее время елочный базар</w:t>
            </w:r>
          </w:p>
        </w:tc>
        <w:tc>
          <w:tcPr>
            <w:tcW w:w="1388" w:type="dxa"/>
            <w:vMerge/>
          </w:tcPr>
          <w:p w:rsidR="00756565" w:rsidRPr="00632FE0" w:rsidRDefault="00756565" w:rsidP="009864BF">
            <w:pPr>
              <w:jc w:val="center"/>
              <w:rPr>
                <w:sz w:val="22"/>
                <w:szCs w:val="22"/>
              </w:rPr>
            </w:pPr>
          </w:p>
        </w:tc>
        <w:tc>
          <w:tcPr>
            <w:tcW w:w="820" w:type="dxa"/>
            <w:vMerge/>
          </w:tcPr>
          <w:p w:rsidR="00756565" w:rsidRPr="00632FE0" w:rsidRDefault="00756565" w:rsidP="009864BF">
            <w:pPr>
              <w:jc w:val="center"/>
              <w:rPr>
                <w:sz w:val="22"/>
                <w:szCs w:val="22"/>
              </w:rPr>
            </w:pPr>
          </w:p>
        </w:tc>
        <w:tc>
          <w:tcPr>
            <w:tcW w:w="947" w:type="dxa"/>
          </w:tcPr>
          <w:p w:rsidR="00756565" w:rsidRPr="00632FE0" w:rsidRDefault="00756565" w:rsidP="009864BF">
            <w:pPr>
              <w:jc w:val="center"/>
              <w:rPr>
                <w:sz w:val="22"/>
                <w:szCs w:val="22"/>
              </w:rPr>
            </w:pPr>
            <w:r w:rsidRPr="00632FE0">
              <w:rPr>
                <w:sz w:val="22"/>
                <w:szCs w:val="22"/>
              </w:rPr>
              <w:t>1846,58</w:t>
            </w:r>
          </w:p>
        </w:tc>
      </w:tr>
      <w:tr w:rsidR="00756565" w:rsidRPr="00632FE0" w:rsidTr="009864BF">
        <w:trPr>
          <w:trHeight w:val="912"/>
          <w:tblCellSpacing w:w="15" w:type="dxa"/>
        </w:trPr>
        <w:tc>
          <w:tcPr>
            <w:tcW w:w="428" w:type="dxa"/>
            <w:vMerge w:val="restart"/>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val="restart"/>
            <w:tcMar>
              <w:top w:w="15" w:type="dxa"/>
              <w:left w:w="149" w:type="dxa"/>
              <w:bottom w:w="15" w:type="dxa"/>
              <w:right w:w="149" w:type="dxa"/>
            </w:tcMar>
            <w:vAlign w:val="center"/>
          </w:tcPr>
          <w:p w:rsidR="00756565" w:rsidRPr="00632FE0" w:rsidRDefault="00756565" w:rsidP="009864BF">
            <w:pPr>
              <w:ind w:left="-174" w:right="-174"/>
              <w:rPr>
                <w:sz w:val="22"/>
                <w:szCs w:val="22"/>
              </w:rPr>
            </w:pPr>
            <w:r w:rsidRPr="00632FE0">
              <w:rPr>
                <w:sz w:val="22"/>
                <w:szCs w:val="22"/>
              </w:rPr>
              <w:t xml:space="preserve">Ул. </w:t>
            </w:r>
            <w:proofErr w:type="gramStart"/>
            <w:r w:rsidRPr="00632FE0">
              <w:rPr>
                <w:sz w:val="22"/>
                <w:szCs w:val="22"/>
              </w:rPr>
              <w:t>Коммунистическая</w:t>
            </w:r>
            <w:proofErr w:type="gramEnd"/>
            <w:r w:rsidRPr="00632FE0">
              <w:rPr>
                <w:sz w:val="22"/>
                <w:szCs w:val="22"/>
              </w:rPr>
              <w:t>, у магазина «</w:t>
            </w:r>
            <w:proofErr w:type="spellStart"/>
            <w:r w:rsidRPr="00632FE0">
              <w:rPr>
                <w:sz w:val="22"/>
                <w:szCs w:val="22"/>
              </w:rPr>
              <w:t>Йондоз</w:t>
            </w:r>
            <w:proofErr w:type="spellEnd"/>
            <w:r w:rsidRPr="00632FE0">
              <w:rPr>
                <w:sz w:val="22"/>
                <w:szCs w:val="22"/>
              </w:rPr>
              <w:t>»</w:t>
            </w:r>
          </w:p>
        </w:tc>
        <w:tc>
          <w:tcPr>
            <w:tcW w:w="1813" w:type="dxa"/>
            <w:vMerge w:val="restart"/>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Borders>
              <w:bottom w:val="single" w:sz="4" w:space="0" w:color="auto"/>
            </w:tcBorders>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 xml:space="preserve">в летнее время </w:t>
            </w:r>
            <w:proofErr w:type="gramStart"/>
            <w:r w:rsidRPr="00632FE0">
              <w:rPr>
                <w:sz w:val="22"/>
                <w:szCs w:val="22"/>
              </w:rPr>
              <w:t>-т</w:t>
            </w:r>
            <w:proofErr w:type="gramEnd"/>
            <w:r w:rsidRPr="00632FE0">
              <w:rPr>
                <w:sz w:val="22"/>
                <w:szCs w:val="22"/>
              </w:rPr>
              <w:t>орговля   безалкогольными прохладительными напитками  и (или)</w:t>
            </w:r>
          </w:p>
          <w:p w:rsidR="00756565" w:rsidRPr="00632FE0" w:rsidRDefault="00756565" w:rsidP="009864BF">
            <w:pPr>
              <w:ind w:left="-129" w:right="-162"/>
              <w:rPr>
                <w:sz w:val="22"/>
                <w:szCs w:val="22"/>
              </w:rPr>
            </w:pPr>
            <w:r w:rsidRPr="00632FE0">
              <w:rPr>
                <w:sz w:val="22"/>
                <w:szCs w:val="22"/>
              </w:rPr>
              <w:t>бахчевыми культурами</w:t>
            </w:r>
          </w:p>
        </w:tc>
        <w:tc>
          <w:tcPr>
            <w:tcW w:w="1388" w:type="dxa"/>
            <w:vMerge w:val="restart"/>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01.07.2023 – 01.11.2023</w:t>
            </w: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15.12.2023 – 31.12.2023</w:t>
            </w:r>
          </w:p>
        </w:tc>
        <w:tc>
          <w:tcPr>
            <w:tcW w:w="820" w:type="dxa"/>
            <w:vMerge w:val="restart"/>
          </w:tcPr>
          <w:p w:rsidR="00756565" w:rsidRPr="00632FE0" w:rsidRDefault="00756565" w:rsidP="009864BF">
            <w:pPr>
              <w:rPr>
                <w:sz w:val="22"/>
                <w:szCs w:val="22"/>
              </w:rPr>
            </w:pPr>
            <w:r w:rsidRPr="00632FE0">
              <w:rPr>
                <w:sz w:val="22"/>
                <w:szCs w:val="22"/>
              </w:rPr>
              <w:t>30</w:t>
            </w:r>
          </w:p>
        </w:tc>
        <w:tc>
          <w:tcPr>
            <w:tcW w:w="947" w:type="dxa"/>
          </w:tcPr>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18 465,80</w:t>
            </w: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11 079,48</w:t>
            </w:r>
          </w:p>
        </w:tc>
      </w:tr>
      <w:tr w:rsidR="00756565" w:rsidRPr="00632FE0" w:rsidTr="009864BF">
        <w:trPr>
          <w:trHeight w:val="270"/>
          <w:tblCellSpacing w:w="15" w:type="dxa"/>
        </w:trPr>
        <w:tc>
          <w:tcPr>
            <w:tcW w:w="428" w:type="dxa"/>
            <w:vMerge/>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vMerge/>
            <w:tcMar>
              <w:top w:w="15" w:type="dxa"/>
              <w:left w:w="149" w:type="dxa"/>
              <w:bottom w:w="15" w:type="dxa"/>
              <w:right w:w="149" w:type="dxa"/>
            </w:tcMar>
            <w:vAlign w:val="center"/>
          </w:tcPr>
          <w:p w:rsidR="00756565" w:rsidRPr="00632FE0" w:rsidRDefault="00756565" w:rsidP="009864BF">
            <w:pPr>
              <w:ind w:left="-32" w:right="-174"/>
              <w:rPr>
                <w:sz w:val="22"/>
                <w:szCs w:val="22"/>
              </w:rPr>
            </w:pPr>
          </w:p>
        </w:tc>
        <w:tc>
          <w:tcPr>
            <w:tcW w:w="1813" w:type="dxa"/>
            <w:vMerge/>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p>
        </w:tc>
        <w:tc>
          <w:tcPr>
            <w:tcW w:w="1812" w:type="dxa"/>
            <w:tcBorders>
              <w:top w:val="single" w:sz="4" w:space="0" w:color="auto"/>
            </w:tcBorders>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зимнее время елочный базар</w:t>
            </w:r>
          </w:p>
        </w:tc>
        <w:tc>
          <w:tcPr>
            <w:tcW w:w="1388" w:type="dxa"/>
            <w:vMerge/>
          </w:tcPr>
          <w:p w:rsidR="00756565" w:rsidRPr="00632FE0" w:rsidRDefault="00756565" w:rsidP="009864BF">
            <w:pPr>
              <w:jc w:val="center"/>
              <w:rPr>
                <w:sz w:val="22"/>
                <w:szCs w:val="22"/>
              </w:rPr>
            </w:pPr>
          </w:p>
        </w:tc>
        <w:tc>
          <w:tcPr>
            <w:tcW w:w="820" w:type="dxa"/>
            <w:vMerge/>
          </w:tcPr>
          <w:p w:rsidR="00756565" w:rsidRPr="00632FE0" w:rsidRDefault="00756565" w:rsidP="009864BF">
            <w:pPr>
              <w:jc w:val="center"/>
              <w:rPr>
                <w:sz w:val="22"/>
                <w:szCs w:val="22"/>
              </w:rPr>
            </w:pPr>
          </w:p>
        </w:tc>
        <w:tc>
          <w:tcPr>
            <w:tcW w:w="947" w:type="dxa"/>
          </w:tcPr>
          <w:p w:rsidR="00756565" w:rsidRPr="00632FE0" w:rsidRDefault="00756565" w:rsidP="009864BF">
            <w:pPr>
              <w:jc w:val="center"/>
              <w:rPr>
                <w:sz w:val="22"/>
                <w:szCs w:val="22"/>
              </w:rPr>
            </w:pPr>
            <w:r w:rsidRPr="00632FE0">
              <w:rPr>
                <w:sz w:val="22"/>
                <w:szCs w:val="22"/>
              </w:rPr>
              <w:t>1846,58</w:t>
            </w:r>
          </w:p>
        </w:tc>
      </w:tr>
      <w:tr w:rsidR="00756565" w:rsidRPr="00632FE0" w:rsidTr="009864BF">
        <w:trPr>
          <w:trHeight w:val="845"/>
          <w:tblCellSpacing w:w="15" w:type="dxa"/>
        </w:trPr>
        <w:tc>
          <w:tcPr>
            <w:tcW w:w="428" w:type="dxa"/>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tcMar>
              <w:top w:w="15" w:type="dxa"/>
              <w:left w:w="149" w:type="dxa"/>
              <w:bottom w:w="15" w:type="dxa"/>
              <w:right w:w="149" w:type="dxa"/>
            </w:tcMar>
            <w:vAlign w:val="center"/>
          </w:tcPr>
          <w:p w:rsidR="00756565" w:rsidRPr="00632FE0" w:rsidRDefault="00756565" w:rsidP="009864BF">
            <w:pPr>
              <w:ind w:left="-32" w:right="-174"/>
              <w:rPr>
                <w:sz w:val="22"/>
                <w:szCs w:val="22"/>
              </w:rPr>
            </w:pPr>
            <w:r w:rsidRPr="00632FE0">
              <w:rPr>
                <w:sz w:val="22"/>
                <w:szCs w:val="22"/>
              </w:rPr>
              <w:t>Ул. Ленина площадка у магазина «Магнит»</w:t>
            </w:r>
          </w:p>
        </w:tc>
        <w:tc>
          <w:tcPr>
            <w:tcW w:w="1813" w:type="dxa"/>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летнее время -  торговля   безалкогольными прохладительными напитками</w:t>
            </w:r>
          </w:p>
        </w:tc>
        <w:tc>
          <w:tcPr>
            <w:tcW w:w="1388" w:type="dxa"/>
          </w:tcPr>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tc>
        <w:tc>
          <w:tcPr>
            <w:tcW w:w="820" w:type="dxa"/>
          </w:tcPr>
          <w:p w:rsidR="00756565" w:rsidRPr="00632FE0" w:rsidRDefault="00756565" w:rsidP="009864BF">
            <w:pPr>
              <w:rPr>
                <w:sz w:val="22"/>
                <w:szCs w:val="22"/>
              </w:rPr>
            </w:pPr>
            <w:r w:rsidRPr="00632FE0">
              <w:rPr>
                <w:sz w:val="22"/>
                <w:szCs w:val="22"/>
              </w:rPr>
              <w:t>30</w:t>
            </w:r>
          </w:p>
        </w:tc>
        <w:tc>
          <w:tcPr>
            <w:tcW w:w="947" w:type="dxa"/>
          </w:tcPr>
          <w:p w:rsidR="00756565" w:rsidRPr="00632FE0" w:rsidRDefault="00756565" w:rsidP="009864BF">
            <w:pPr>
              <w:rPr>
                <w:sz w:val="22"/>
                <w:szCs w:val="22"/>
              </w:rPr>
            </w:pPr>
            <w:r w:rsidRPr="00632FE0">
              <w:rPr>
                <w:sz w:val="22"/>
                <w:szCs w:val="22"/>
              </w:rPr>
              <w:t>20517,55</w:t>
            </w:r>
          </w:p>
          <w:p w:rsidR="00756565" w:rsidRPr="00632FE0" w:rsidRDefault="00756565" w:rsidP="009864BF">
            <w:pPr>
              <w:rPr>
                <w:sz w:val="22"/>
                <w:szCs w:val="22"/>
              </w:rPr>
            </w:pPr>
          </w:p>
          <w:p w:rsidR="00756565" w:rsidRPr="00632FE0" w:rsidRDefault="00756565" w:rsidP="009864BF">
            <w:pPr>
              <w:rPr>
                <w:sz w:val="22"/>
                <w:szCs w:val="22"/>
              </w:rPr>
            </w:pPr>
          </w:p>
          <w:p w:rsidR="00756565" w:rsidRPr="00632FE0" w:rsidRDefault="00756565" w:rsidP="009864BF">
            <w:pPr>
              <w:rPr>
                <w:sz w:val="22"/>
                <w:szCs w:val="22"/>
              </w:rPr>
            </w:pPr>
          </w:p>
        </w:tc>
      </w:tr>
      <w:tr w:rsidR="00756565" w:rsidRPr="00632FE0" w:rsidTr="009864BF">
        <w:trPr>
          <w:trHeight w:val="1341"/>
          <w:tblCellSpacing w:w="15" w:type="dxa"/>
        </w:trPr>
        <w:tc>
          <w:tcPr>
            <w:tcW w:w="428" w:type="dxa"/>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jc w:val="center"/>
              <w:rPr>
                <w:sz w:val="22"/>
                <w:szCs w:val="22"/>
              </w:rPr>
            </w:pPr>
          </w:p>
        </w:tc>
        <w:tc>
          <w:tcPr>
            <w:tcW w:w="2380" w:type="dxa"/>
            <w:tcMar>
              <w:top w:w="15" w:type="dxa"/>
              <w:left w:w="149" w:type="dxa"/>
              <w:bottom w:w="15" w:type="dxa"/>
              <w:right w:w="149" w:type="dxa"/>
            </w:tcMar>
            <w:vAlign w:val="center"/>
          </w:tcPr>
          <w:p w:rsidR="00756565" w:rsidRPr="00632FE0" w:rsidRDefault="00756565" w:rsidP="009864BF">
            <w:pPr>
              <w:ind w:left="-32" w:right="-174"/>
              <w:rPr>
                <w:sz w:val="22"/>
                <w:szCs w:val="22"/>
              </w:rPr>
            </w:pPr>
            <w:r w:rsidRPr="00632FE0">
              <w:rPr>
                <w:sz w:val="22"/>
                <w:szCs w:val="22"/>
              </w:rPr>
              <w:t>Ул. Космонавтов, площадь перед физкультурно-оздоровительным комплексом «</w:t>
            </w:r>
            <w:proofErr w:type="spellStart"/>
            <w:r w:rsidRPr="00632FE0">
              <w:rPr>
                <w:sz w:val="22"/>
                <w:szCs w:val="22"/>
              </w:rPr>
              <w:t>Ыласын</w:t>
            </w:r>
            <w:proofErr w:type="spellEnd"/>
            <w:r w:rsidRPr="00632FE0">
              <w:rPr>
                <w:sz w:val="22"/>
                <w:szCs w:val="22"/>
              </w:rPr>
              <w:t>»</w:t>
            </w:r>
          </w:p>
        </w:tc>
        <w:tc>
          <w:tcPr>
            <w:tcW w:w="1813" w:type="dxa"/>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зимнее время елочный базар</w:t>
            </w:r>
          </w:p>
        </w:tc>
        <w:tc>
          <w:tcPr>
            <w:tcW w:w="1388" w:type="dxa"/>
          </w:tcPr>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15.12.2023 – 31.12.2023</w:t>
            </w:r>
          </w:p>
        </w:tc>
        <w:tc>
          <w:tcPr>
            <w:tcW w:w="820" w:type="dxa"/>
          </w:tcPr>
          <w:p w:rsidR="00756565" w:rsidRPr="00632FE0" w:rsidRDefault="00756565" w:rsidP="009864BF">
            <w:pPr>
              <w:rPr>
                <w:sz w:val="22"/>
                <w:szCs w:val="22"/>
              </w:rPr>
            </w:pPr>
            <w:r w:rsidRPr="00632FE0">
              <w:rPr>
                <w:sz w:val="22"/>
                <w:szCs w:val="22"/>
              </w:rPr>
              <w:t>30</w:t>
            </w:r>
          </w:p>
        </w:tc>
        <w:tc>
          <w:tcPr>
            <w:tcW w:w="947" w:type="dxa"/>
          </w:tcPr>
          <w:p w:rsidR="00756565" w:rsidRPr="00632FE0" w:rsidRDefault="00756565" w:rsidP="009864BF">
            <w:pPr>
              <w:rPr>
                <w:sz w:val="22"/>
                <w:szCs w:val="22"/>
              </w:rPr>
            </w:pPr>
          </w:p>
          <w:p w:rsidR="00756565" w:rsidRPr="00632FE0" w:rsidRDefault="00756565" w:rsidP="009864BF">
            <w:pPr>
              <w:rPr>
                <w:sz w:val="22"/>
                <w:szCs w:val="22"/>
              </w:rPr>
            </w:pPr>
            <w:r w:rsidRPr="00632FE0">
              <w:rPr>
                <w:sz w:val="22"/>
                <w:szCs w:val="22"/>
              </w:rPr>
              <w:t>1823,79</w:t>
            </w:r>
          </w:p>
        </w:tc>
      </w:tr>
      <w:tr w:rsidR="00756565" w:rsidRPr="00632FE0" w:rsidTr="009864BF">
        <w:trPr>
          <w:trHeight w:val="1069"/>
          <w:tblCellSpacing w:w="15" w:type="dxa"/>
        </w:trPr>
        <w:tc>
          <w:tcPr>
            <w:tcW w:w="428" w:type="dxa"/>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ind w:right="-89"/>
              <w:jc w:val="center"/>
              <w:rPr>
                <w:sz w:val="22"/>
                <w:szCs w:val="22"/>
              </w:rPr>
            </w:pPr>
          </w:p>
        </w:tc>
        <w:tc>
          <w:tcPr>
            <w:tcW w:w="2380" w:type="dxa"/>
            <w:tcMar>
              <w:top w:w="15" w:type="dxa"/>
              <w:left w:w="149" w:type="dxa"/>
              <w:bottom w:w="15" w:type="dxa"/>
              <w:right w:w="149" w:type="dxa"/>
            </w:tcMar>
            <w:vAlign w:val="center"/>
          </w:tcPr>
          <w:p w:rsidR="00756565" w:rsidRPr="00632FE0" w:rsidRDefault="00756565" w:rsidP="009864BF">
            <w:pPr>
              <w:ind w:left="-32" w:right="-174"/>
              <w:rPr>
                <w:sz w:val="22"/>
                <w:szCs w:val="22"/>
              </w:rPr>
            </w:pPr>
            <w:r w:rsidRPr="00632FE0">
              <w:rPr>
                <w:sz w:val="22"/>
                <w:szCs w:val="22"/>
              </w:rPr>
              <w:t>Ул</w:t>
            </w:r>
            <w:proofErr w:type="gramStart"/>
            <w:r w:rsidRPr="00632FE0">
              <w:rPr>
                <w:sz w:val="22"/>
                <w:szCs w:val="22"/>
              </w:rPr>
              <w:t>.Т</w:t>
            </w:r>
            <w:proofErr w:type="gramEnd"/>
            <w:r w:rsidRPr="00632FE0">
              <w:rPr>
                <w:sz w:val="22"/>
                <w:szCs w:val="22"/>
              </w:rPr>
              <w:t xml:space="preserve">рактовая, (выезд на автодорогу  </w:t>
            </w:r>
            <w:proofErr w:type="spellStart"/>
            <w:r w:rsidRPr="00632FE0">
              <w:rPr>
                <w:sz w:val="22"/>
                <w:szCs w:val="22"/>
              </w:rPr>
              <w:t>Раевка-Стерлитамак</w:t>
            </w:r>
            <w:proofErr w:type="spellEnd"/>
            <w:r w:rsidRPr="00632FE0">
              <w:rPr>
                <w:sz w:val="22"/>
                <w:szCs w:val="22"/>
              </w:rPr>
              <w:t>)</w:t>
            </w:r>
          </w:p>
        </w:tc>
        <w:tc>
          <w:tcPr>
            <w:tcW w:w="1813" w:type="dxa"/>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летнее время -  торговля   безалкогольными прохладительными напитками</w:t>
            </w:r>
          </w:p>
        </w:tc>
        <w:tc>
          <w:tcPr>
            <w:tcW w:w="1388" w:type="dxa"/>
          </w:tcPr>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p>
        </w:tc>
        <w:tc>
          <w:tcPr>
            <w:tcW w:w="820" w:type="dxa"/>
          </w:tcPr>
          <w:p w:rsidR="00756565" w:rsidRPr="00632FE0" w:rsidRDefault="00756565" w:rsidP="009864BF">
            <w:pPr>
              <w:rPr>
                <w:sz w:val="22"/>
                <w:szCs w:val="22"/>
              </w:rPr>
            </w:pPr>
            <w:r w:rsidRPr="00632FE0">
              <w:rPr>
                <w:sz w:val="22"/>
                <w:szCs w:val="22"/>
              </w:rPr>
              <w:t>10</w:t>
            </w:r>
          </w:p>
        </w:tc>
        <w:tc>
          <w:tcPr>
            <w:tcW w:w="947" w:type="dxa"/>
          </w:tcPr>
          <w:p w:rsidR="00756565" w:rsidRPr="00632FE0" w:rsidRDefault="00756565" w:rsidP="009864BF">
            <w:pPr>
              <w:rPr>
                <w:sz w:val="22"/>
                <w:szCs w:val="22"/>
              </w:rPr>
            </w:pPr>
            <w:r w:rsidRPr="00632FE0">
              <w:rPr>
                <w:sz w:val="22"/>
                <w:szCs w:val="22"/>
              </w:rPr>
              <w:t>5471,35</w:t>
            </w:r>
          </w:p>
        </w:tc>
      </w:tr>
      <w:tr w:rsidR="00756565" w:rsidRPr="00632FE0" w:rsidTr="009864BF">
        <w:trPr>
          <w:trHeight w:val="1462"/>
          <w:tblCellSpacing w:w="15" w:type="dxa"/>
        </w:trPr>
        <w:tc>
          <w:tcPr>
            <w:tcW w:w="428" w:type="dxa"/>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ind w:right="-89"/>
              <w:jc w:val="center"/>
              <w:rPr>
                <w:sz w:val="22"/>
                <w:szCs w:val="22"/>
              </w:rPr>
            </w:pPr>
          </w:p>
        </w:tc>
        <w:tc>
          <w:tcPr>
            <w:tcW w:w="2380" w:type="dxa"/>
            <w:tcMar>
              <w:top w:w="15" w:type="dxa"/>
              <w:left w:w="149" w:type="dxa"/>
              <w:bottom w:w="15" w:type="dxa"/>
              <w:right w:w="149" w:type="dxa"/>
            </w:tcMar>
            <w:vAlign w:val="center"/>
          </w:tcPr>
          <w:p w:rsidR="00756565" w:rsidRPr="00632FE0" w:rsidRDefault="00756565" w:rsidP="009864BF">
            <w:pPr>
              <w:ind w:left="-32" w:right="-174"/>
              <w:rPr>
                <w:sz w:val="22"/>
                <w:szCs w:val="22"/>
              </w:rPr>
            </w:pPr>
            <w:r w:rsidRPr="00632FE0">
              <w:rPr>
                <w:sz w:val="22"/>
                <w:szCs w:val="22"/>
              </w:rPr>
              <w:t>На перекрестке со стороны южного въезда в с</w:t>
            </w:r>
            <w:proofErr w:type="gramStart"/>
            <w:r w:rsidRPr="00632FE0">
              <w:rPr>
                <w:sz w:val="22"/>
                <w:szCs w:val="22"/>
              </w:rPr>
              <w:t>.Р</w:t>
            </w:r>
            <w:proofErr w:type="gramEnd"/>
            <w:r w:rsidRPr="00632FE0">
              <w:rPr>
                <w:sz w:val="22"/>
                <w:szCs w:val="22"/>
              </w:rPr>
              <w:t xml:space="preserve">аевский в 20 метрах от трассы Чишмы- </w:t>
            </w:r>
            <w:proofErr w:type="spellStart"/>
            <w:r w:rsidRPr="00632FE0">
              <w:rPr>
                <w:sz w:val="22"/>
                <w:szCs w:val="22"/>
              </w:rPr>
              <w:t>Киргиз-Мияки</w:t>
            </w:r>
            <w:proofErr w:type="spellEnd"/>
          </w:p>
        </w:tc>
        <w:tc>
          <w:tcPr>
            <w:tcW w:w="1813" w:type="dxa"/>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Mar>
              <w:top w:w="15" w:type="dxa"/>
              <w:left w:w="149" w:type="dxa"/>
              <w:bottom w:w="15" w:type="dxa"/>
              <w:right w:w="149" w:type="dxa"/>
            </w:tcMar>
          </w:tcPr>
          <w:p w:rsidR="00756565" w:rsidRPr="00632FE0" w:rsidRDefault="00756565" w:rsidP="009864BF">
            <w:pPr>
              <w:ind w:left="-129" w:right="-162"/>
              <w:rPr>
                <w:sz w:val="22"/>
                <w:szCs w:val="22"/>
              </w:rPr>
            </w:pPr>
            <w:r w:rsidRPr="00632FE0">
              <w:rPr>
                <w:sz w:val="22"/>
                <w:szCs w:val="22"/>
              </w:rPr>
              <w:t>в летнее время - торговля  квасом, кумысом, безалкогольными прохладительными напитками</w:t>
            </w:r>
          </w:p>
        </w:tc>
        <w:tc>
          <w:tcPr>
            <w:tcW w:w="1388" w:type="dxa"/>
          </w:tcPr>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p>
        </w:tc>
        <w:tc>
          <w:tcPr>
            <w:tcW w:w="820" w:type="dxa"/>
          </w:tcPr>
          <w:p w:rsidR="00756565" w:rsidRPr="00632FE0" w:rsidRDefault="00756565" w:rsidP="009864BF">
            <w:pPr>
              <w:rPr>
                <w:sz w:val="22"/>
                <w:szCs w:val="22"/>
              </w:rPr>
            </w:pPr>
            <w:r w:rsidRPr="00632FE0">
              <w:rPr>
                <w:sz w:val="22"/>
                <w:szCs w:val="22"/>
              </w:rPr>
              <w:t>10</w:t>
            </w:r>
          </w:p>
        </w:tc>
        <w:tc>
          <w:tcPr>
            <w:tcW w:w="947" w:type="dxa"/>
          </w:tcPr>
          <w:p w:rsidR="00756565" w:rsidRPr="00632FE0" w:rsidRDefault="00756565" w:rsidP="009864BF">
            <w:pPr>
              <w:rPr>
                <w:sz w:val="22"/>
                <w:szCs w:val="22"/>
              </w:rPr>
            </w:pPr>
            <w:r w:rsidRPr="00632FE0">
              <w:rPr>
                <w:sz w:val="22"/>
                <w:szCs w:val="22"/>
              </w:rPr>
              <w:t>5471,35</w:t>
            </w:r>
          </w:p>
        </w:tc>
      </w:tr>
      <w:tr w:rsidR="00756565" w:rsidRPr="00632FE0" w:rsidTr="009864BF">
        <w:trPr>
          <w:trHeight w:val="1392"/>
          <w:tblCellSpacing w:w="15" w:type="dxa"/>
        </w:trPr>
        <w:tc>
          <w:tcPr>
            <w:tcW w:w="428" w:type="dxa"/>
            <w:tcBorders>
              <w:top w:val="single" w:sz="4" w:space="0" w:color="auto"/>
              <w:left w:val="single" w:sz="4" w:space="0" w:color="auto"/>
              <w:right w:val="single" w:sz="4" w:space="0" w:color="auto"/>
            </w:tcBorders>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ind w:right="-174"/>
              <w:rPr>
                <w:sz w:val="22"/>
                <w:szCs w:val="22"/>
              </w:rPr>
            </w:pPr>
          </w:p>
        </w:tc>
        <w:tc>
          <w:tcPr>
            <w:tcW w:w="2380" w:type="dxa"/>
            <w:tcBorders>
              <w:top w:val="single" w:sz="4" w:space="0" w:color="auto"/>
              <w:left w:val="single" w:sz="4" w:space="0" w:color="auto"/>
              <w:right w:val="single" w:sz="4" w:space="0" w:color="auto"/>
            </w:tcBorders>
            <w:tcMar>
              <w:top w:w="15" w:type="dxa"/>
              <w:left w:w="149" w:type="dxa"/>
              <w:bottom w:w="15" w:type="dxa"/>
              <w:right w:w="149" w:type="dxa"/>
            </w:tcMar>
            <w:vAlign w:val="center"/>
            <w:hideMark/>
          </w:tcPr>
          <w:p w:rsidR="00756565" w:rsidRPr="00632FE0" w:rsidRDefault="00756565" w:rsidP="009864BF">
            <w:pPr>
              <w:ind w:left="-32" w:right="-174"/>
              <w:rPr>
                <w:sz w:val="22"/>
                <w:szCs w:val="22"/>
              </w:rPr>
            </w:pPr>
            <w:r w:rsidRPr="00632FE0">
              <w:rPr>
                <w:sz w:val="22"/>
                <w:szCs w:val="22"/>
              </w:rPr>
              <w:t>ул. Ленина, 120, площадка перед   ТЦ «Оскар»</w:t>
            </w:r>
          </w:p>
        </w:tc>
        <w:tc>
          <w:tcPr>
            <w:tcW w:w="1813" w:type="dxa"/>
            <w:tcBorders>
              <w:top w:val="single" w:sz="4" w:space="0" w:color="auto"/>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tabs>
                <w:tab w:val="left" w:pos="1243"/>
              </w:tabs>
              <w:ind w:right="-174"/>
              <w:rPr>
                <w:sz w:val="22"/>
                <w:szCs w:val="22"/>
              </w:rPr>
            </w:pPr>
          </w:p>
          <w:p w:rsidR="00756565" w:rsidRPr="00632FE0" w:rsidRDefault="00756565" w:rsidP="009864BF">
            <w:pPr>
              <w:tabs>
                <w:tab w:val="left" w:pos="1243"/>
              </w:tabs>
              <w:ind w:left="-104" w:right="-174"/>
              <w:rPr>
                <w:sz w:val="22"/>
                <w:szCs w:val="22"/>
              </w:rPr>
            </w:pPr>
            <w:r w:rsidRPr="00632FE0">
              <w:rPr>
                <w:sz w:val="22"/>
                <w:szCs w:val="22"/>
              </w:rPr>
              <w:t>торговая палатка</w:t>
            </w:r>
          </w:p>
        </w:tc>
        <w:tc>
          <w:tcPr>
            <w:tcW w:w="1812" w:type="dxa"/>
            <w:tcBorders>
              <w:top w:val="single" w:sz="4" w:space="0" w:color="auto"/>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в летнее время - торговля  квасом, кумысом безалкогольными прохладительными напитками</w:t>
            </w:r>
          </w:p>
        </w:tc>
        <w:tc>
          <w:tcPr>
            <w:tcW w:w="1388" w:type="dxa"/>
            <w:tcBorders>
              <w:top w:val="single" w:sz="4" w:space="0" w:color="auto"/>
              <w:left w:val="single" w:sz="4" w:space="0" w:color="auto"/>
              <w:right w:val="single" w:sz="4" w:space="0" w:color="auto"/>
            </w:tcBorders>
            <w:hideMark/>
          </w:tcPr>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p>
        </w:tc>
        <w:tc>
          <w:tcPr>
            <w:tcW w:w="820" w:type="dxa"/>
            <w:tcBorders>
              <w:top w:val="single" w:sz="4" w:space="0" w:color="auto"/>
              <w:left w:val="single" w:sz="4" w:space="0" w:color="auto"/>
              <w:right w:val="single" w:sz="4" w:space="0" w:color="auto"/>
            </w:tcBorders>
          </w:tcPr>
          <w:p w:rsidR="00756565" w:rsidRPr="00632FE0" w:rsidRDefault="00756565" w:rsidP="009864BF">
            <w:pPr>
              <w:rPr>
                <w:sz w:val="22"/>
                <w:szCs w:val="22"/>
              </w:rPr>
            </w:pPr>
            <w:r w:rsidRPr="00632FE0">
              <w:rPr>
                <w:sz w:val="22"/>
                <w:szCs w:val="22"/>
              </w:rPr>
              <w:t>6</w:t>
            </w:r>
          </w:p>
        </w:tc>
        <w:tc>
          <w:tcPr>
            <w:tcW w:w="947" w:type="dxa"/>
            <w:tcBorders>
              <w:top w:val="single" w:sz="4" w:space="0" w:color="auto"/>
              <w:left w:val="single" w:sz="4" w:space="0" w:color="auto"/>
              <w:right w:val="single" w:sz="4" w:space="0" w:color="auto"/>
            </w:tcBorders>
          </w:tcPr>
          <w:p w:rsidR="00756565" w:rsidRPr="00632FE0" w:rsidRDefault="00756565" w:rsidP="009864BF">
            <w:pPr>
              <w:rPr>
                <w:sz w:val="22"/>
                <w:szCs w:val="22"/>
              </w:rPr>
            </w:pPr>
            <w:r w:rsidRPr="00632FE0">
              <w:rPr>
                <w:sz w:val="22"/>
                <w:szCs w:val="22"/>
              </w:rPr>
              <w:t>3647,55</w:t>
            </w:r>
          </w:p>
        </w:tc>
      </w:tr>
      <w:tr w:rsidR="00756565" w:rsidRPr="00632FE0" w:rsidTr="009864BF">
        <w:trPr>
          <w:trHeight w:val="985"/>
          <w:tblCellSpacing w:w="15" w:type="dxa"/>
        </w:trPr>
        <w:tc>
          <w:tcPr>
            <w:tcW w:w="428"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ind w:right="-174"/>
              <w:rPr>
                <w:sz w:val="22"/>
                <w:szCs w:val="22"/>
              </w:rPr>
            </w:pPr>
          </w:p>
        </w:tc>
        <w:tc>
          <w:tcPr>
            <w:tcW w:w="2380" w:type="dxa"/>
            <w:tcBorders>
              <w:left w:val="single" w:sz="4" w:space="0" w:color="auto"/>
              <w:right w:val="single" w:sz="4" w:space="0" w:color="auto"/>
            </w:tcBorders>
            <w:tcMar>
              <w:top w:w="15" w:type="dxa"/>
              <w:left w:w="149" w:type="dxa"/>
              <w:bottom w:w="15" w:type="dxa"/>
              <w:right w:w="149" w:type="dxa"/>
            </w:tcMar>
            <w:vAlign w:val="center"/>
            <w:hideMark/>
          </w:tcPr>
          <w:p w:rsidR="00756565" w:rsidRPr="00632FE0" w:rsidRDefault="00756565" w:rsidP="009864BF">
            <w:pPr>
              <w:ind w:left="-32" w:right="-174"/>
              <w:rPr>
                <w:sz w:val="22"/>
                <w:szCs w:val="22"/>
              </w:rPr>
            </w:pPr>
            <w:r w:rsidRPr="00632FE0">
              <w:rPr>
                <w:sz w:val="22"/>
                <w:szCs w:val="22"/>
              </w:rPr>
              <w:t xml:space="preserve">Ул. Магистральная д. 5/1 </w:t>
            </w:r>
          </w:p>
        </w:tc>
        <w:tc>
          <w:tcPr>
            <w:tcW w:w="1813"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r w:rsidRPr="00632FE0">
              <w:rPr>
                <w:sz w:val="22"/>
                <w:szCs w:val="22"/>
              </w:rPr>
              <w:t xml:space="preserve"> автолавка, </w:t>
            </w:r>
            <w:proofErr w:type="spellStart"/>
            <w:r w:rsidRPr="00632FE0">
              <w:rPr>
                <w:sz w:val="22"/>
                <w:szCs w:val="22"/>
              </w:rPr>
              <w:t>автомагазин</w:t>
            </w:r>
            <w:proofErr w:type="spellEnd"/>
            <w:r w:rsidRPr="00632FE0">
              <w:rPr>
                <w:sz w:val="22"/>
                <w:szCs w:val="22"/>
              </w:rPr>
              <w:t>, торговая палатка</w:t>
            </w:r>
          </w:p>
        </w:tc>
        <w:tc>
          <w:tcPr>
            <w:tcW w:w="18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 xml:space="preserve">в летнее время </w:t>
            </w:r>
            <w:proofErr w:type="gramStart"/>
            <w:r w:rsidRPr="00632FE0">
              <w:rPr>
                <w:sz w:val="22"/>
                <w:szCs w:val="22"/>
              </w:rPr>
              <w:t>-т</w:t>
            </w:r>
            <w:proofErr w:type="gramEnd"/>
            <w:r w:rsidRPr="00632FE0">
              <w:rPr>
                <w:sz w:val="22"/>
                <w:szCs w:val="22"/>
              </w:rPr>
              <w:t>орговля  квасом и кумысом, безалкогольными прохладительными напитками</w:t>
            </w:r>
          </w:p>
        </w:tc>
        <w:tc>
          <w:tcPr>
            <w:tcW w:w="1388" w:type="dxa"/>
            <w:tcBorders>
              <w:left w:val="single" w:sz="4" w:space="0" w:color="auto"/>
              <w:right w:val="single" w:sz="4" w:space="0" w:color="auto"/>
            </w:tcBorders>
            <w:hideMark/>
          </w:tcPr>
          <w:p w:rsidR="00756565" w:rsidRPr="00632FE0" w:rsidRDefault="00756565" w:rsidP="009864BF">
            <w:pPr>
              <w:rPr>
                <w:sz w:val="22"/>
                <w:szCs w:val="22"/>
              </w:rPr>
            </w:pPr>
            <w:r w:rsidRPr="00632FE0">
              <w:rPr>
                <w:sz w:val="22"/>
                <w:szCs w:val="22"/>
              </w:rPr>
              <w:t>15.04.2023 – 15.09.2023</w:t>
            </w:r>
          </w:p>
          <w:p w:rsidR="00756565" w:rsidRPr="00632FE0" w:rsidRDefault="00756565" w:rsidP="009864BF">
            <w:pPr>
              <w:rPr>
                <w:sz w:val="22"/>
                <w:szCs w:val="22"/>
              </w:rPr>
            </w:pPr>
          </w:p>
          <w:p w:rsidR="00756565" w:rsidRPr="00632FE0" w:rsidRDefault="00756565" w:rsidP="009864BF">
            <w:pPr>
              <w:rPr>
                <w:sz w:val="22"/>
                <w:szCs w:val="22"/>
              </w:rPr>
            </w:pPr>
          </w:p>
        </w:tc>
        <w:tc>
          <w:tcPr>
            <w:tcW w:w="820" w:type="dxa"/>
            <w:tcBorders>
              <w:left w:val="single" w:sz="4" w:space="0" w:color="auto"/>
              <w:right w:val="single" w:sz="4" w:space="0" w:color="auto"/>
            </w:tcBorders>
          </w:tcPr>
          <w:p w:rsidR="00756565" w:rsidRPr="00632FE0" w:rsidRDefault="00756565" w:rsidP="009864BF">
            <w:pPr>
              <w:rPr>
                <w:sz w:val="22"/>
                <w:szCs w:val="22"/>
              </w:rPr>
            </w:pPr>
            <w:r w:rsidRPr="00632FE0">
              <w:rPr>
                <w:sz w:val="22"/>
                <w:szCs w:val="22"/>
              </w:rPr>
              <w:t>10</w:t>
            </w:r>
          </w:p>
        </w:tc>
        <w:tc>
          <w:tcPr>
            <w:tcW w:w="947" w:type="dxa"/>
            <w:tcBorders>
              <w:left w:val="single" w:sz="4" w:space="0" w:color="auto"/>
              <w:right w:val="single" w:sz="4" w:space="0" w:color="auto"/>
            </w:tcBorders>
          </w:tcPr>
          <w:p w:rsidR="00756565" w:rsidRPr="00632FE0" w:rsidRDefault="00756565" w:rsidP="009864BF">
            <w:pPr>
              <w:rPr>
                <w:sz w:val="22"/>
                <w:szCs w:val="22"/>
              </w:rPr>
            </w:pPr>
            <w:r w:rsidRPr="00632FE0">
              <w:rPr>
                <w:sz w:val="22"/>
                <w:szCs w:val="22"/>
              </w:rPr>
              <w:t>5471,35</w:t>
            </w:r>
          </w:p>
        </w:tc>
      </w:tr>
      <w:tr w:rsidR="00756565" w:rsidRPr="00632FE0" w:rsidTr="009864BF">
        <w:trPr>
          <w:trHeight w:val="1095"/>
          <w:tblCellSpacing w:w="15" w:type="dxa"/>
        </w:trPr>
        <w:tc>
          <w:tcPr>
            <w:tcW w:w="4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ind w:right="-174"/>
              <w:rPr>
                <w:sz w:val="22"/>
                <w:szCs w:val="22"/>
              </w:rPr>
            </w:pPr>
          </w:p>
        </w:tc>
        <w:tc>
          <w:tcPr>
            <w:tcW w:w="23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756565" w:rsidRPr="00632FE0" w:rsidRDefault="00756565" w:rsidP="009864BF">
            <w:pPr>
              <w:ind w:left="-32" w:right="-174"/>
              <w:rPr>
                <w:sz w:val="22"/>
                <w:szCs w:val="22"/>
              </w:rPr>
            </w:pPr>
            <w:r w:rsidRPr="00632FE0">
              <w:rPr>
                <w:sz w:val="22"/>
                <w:szCs w:val="22"/>
              </w:rPr>
              <w:t xml:space="preserve">Ул. Крупская, 24/1 </w:t>
            </w:r>
          </w:p>
        </w:tc>
        <w:tc>
          <w:tcPr>
            <w:tcW w:w="181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r w:rsidRPr="00632FE0">
              <w:rPr>
                <w:sz w:val="22"/>
                <w:szCs w:val="22"/>
              </w:rPr>
              <w:t>автолавка, автоприцеп, прилавки, лотки, тележки и т.п.</w:t>
            </w:r>
          </w:p>
        </w:tc>
        <w:tc>
          <w:tcPr>
            <w:tcW w:w="18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торговля живой птицей, домашними и сельскохозяйственными животными</w:t>
            </w:r>
          </w:p>
        </w:tc>
        <w:tc>
          <w:tcPr>
            <w:tcW w:w="1388" w:type="dxa"/>
            <w:tcBorders>
              <w:top w:val="single" w:sz="4" w:space="0" w:color="auto"/>
              <w:left w:val="single" w:sz="4" w:space="0" w:color="auto"/>
              <w:bottom w:val="single" w:sz="4" w:space="0" w:color="auto"/>
              <w:right w:val="single" w:sz="4" w:space="0" w:color="auto"/>
            </w:tcBorders>
            <w:hideMark/>
          </w:tcPr>
          <w:p w:rsidR="00756565" w:rsidRPr="00632FE0" w:rsidRDefault="00756565" w:rsidP="009864BF">
            <w:pPr>
              <w:rPr>
                <w:sz w:val="22"/>
                <w:szCs w:val="22"/>
              </w:rPr>
            </w:pPr>
            <w:r w:rsidRPr="00632FE0">
              <w:rPr>
                <w:sz w:val="22"/>
                <w:szCs w:val="22"/>
              </w:rPr>
              <w:t>01.05.2023 – 01.10.2023</w:t>
            </w:r>
          </w:p>
        </w:tc>
        <w:tc>
          <w:tcPr>
            <w:tcW w:w="820" w:type="dxa"/>
            <w:tcBorders>
              <w:top w:val="single" w:sz="4" w:space="0" w:color="auto"/>
              <w:left w:val="single" w:sz="4" w:space="0" w:color="auto"/>
              <w:bottom w:val="single" w:sz="4" w:space="0" w:color="auto"/>
              <w:right w:val="single" w:sz="4" w:space="0" w:color="auto"/>
            </w:tcBorders>
          </w:tcPr>
          <w:p w:rsidR="00756565" w:rsidRPr="00632FE0" w:rsidRDefault="00756565" w:rsidP="009864BF">
            <w:pPr>
              <w:rPr>
                <w:sz w:val="22"/>
                <w:szCs w:val="22"/>
              </w:rPr>
            </w:pPr>
            <w:r w:rsidRPr="00632FE0">
              <w:rPr>
                <w:sz w:val="22"/>
                <w:szCs w:val="22"/>
              </w:rPr>
              <w:t>20</w:t>
            </w:r>
          </w:p>
        </w:tc>
        <w:tc>
          <w:tcPr>
            <w:tcW w:w="947" w:type="dxa"/>
            <w:tcBorders>
              <w:top w:val="single" w:sz="4" w:space="0" w:color="auto"/>
              <w:left w:val="single" w:sz="4" w:space="0" w:color="auto"/>
              <w:bottom w:val="single" w:sz="4" w:space="0" w:color="auto"/>
              <w:right w:val="single" w:sz="4" w:space="0" w:color="auto"/>
            </w:tcBorders>
          </w:tcPr>
          <w:p w:rsidR="00756565" w:rsidRPr="00632FE0" w:rsidRDefault="00756565" w:rsidP="009864BF">
            <w:pPr>
              <w:rPr>
                <w:sz w:val="22"/>
                <w:szCs w:val="22"/>
              </w:rPr>
            </w:pPr>
            <w:r w:rsidRPr="00632FE0">
              <w:rPr>
                <w:sz w:val="22"/>
                <w:szCs w:val="22"/>
              </w:rPr>
              <w:t>7903,05</w:t>
            </w:r>
          </w:p>
        </w:tc>
      </w:tr>
      <w:tr w:rsidR="00756565" w:rsidRPr="00632FE0" w:rsidTr="009864BF">
        <w:trPr>
          <w:trHeight w:val="225"/>
          <w:tblCellSpacing w:w="15" w:type="dxa"/>
        </w:trPr>
        <w:tc>
          <w:tcPr>
            <w:tcW w:w="428" w:type="dxa"/>
            <w:tcMar>
              <w:top w:w="15" w:type="dxa"/>
              <w:left w:w="149" w:type="dxa"/>
              <w:bottom w:w="15" w:type="dxa"/>
              <w:right w:w="149" w:type="dxa"/>
            </w:tcMar>
          </w:tcPr>
          <w:p w:rsidR="00756565" w:rsidRPr="00632FE0" w:rsidRDefault="00756565" w:rsidP="00756565">
            <w:pPr>
              <w:pStyle w:val="a5"/>
              <w:numPr>
                <w:ilvl w:val="0"/>
                <w:numId w:val="6"/>
              </w:numPr>
              <w:spacing w:before="100" w:beforeAutospacing="1" w:after="100" w:afterAutospacing="1" w:line="276" w:lineRule="auto"/>
              <w:ind w:right="-89"/>
              <w:jc w:val="center"/>
              <w:rPr>
                <w:sz w:val="22"/>
                <w:szCs w:val="22"/>
              </w:rPr>
            </w:pPr>
          </w:p>
        </w:tc>
        <w:tc>
          <w:tcPr>
            <w:tcW w:w="2380" w:type="dxa"/>
            <w:tcMar>
              <w:top w:w="15" w:type="dxa"/>
              <w:left w:w="149" w:type="dxa"/>
              <w:bottom w:w="15" w:type="dxa"/>
              <w:right w:w="149" w:type="dxa"/>
            </w:tcMar>
          </w:tcPr>
          <w:p w:rsidR="00756565" w:rsidRPr="00632FE0" w:rsidRDefault="00756565" w:rsidP="009864BF">
            <w:pPr>
              <w:ind w:left="-32" w:right="-174"/>
              <w:rPr>
                <w:sz w:val="22"/>
                <w:szCs w:val="22"/>
              </w:rPr>
            </w:pPr>
            <w:r w:rsidRPr="00632FE0">
              <w:rPr>
                <w:sz w:val="22"/>
                <w:szCs w:val="22"/>
              </w:rPr>
              <w:t>Ул. Медиков,39а</w:t>
            </w:r>
          </w:p>
        </w:tc>
        <w:tc>
          <w:tcPr>
            <w:tcW w:w="1813" w:type="dxa"/>
            <w:tcMar>
              <w:top w:w="15" w:type="dxa"/>
              <w:left w:w="149" w:type="dxa"/>
              <w:bottom w:w="15" w:type="dxa"/>
              <w:right w:w="149" w:type="dxa"/>
            </w:tcMar>
          </w:tcPr>
          <w:p w:rsidR="00756565" w:rsidRPr="00632FE0" w:rsidRDefault="00756565" w:rsidP="009864BF">
            <w:pPr>
              <w:tabs>
                <w:tab w:val="left" w:pos="1243"/>
              </w:tabs>
              <w:ind w:left="-104" w:right="-174"/>
              <w:rPr>
                <w:sz w:val="22"/>
                <w:szCs w:val="22"/>
              </w:rPr>
            </w:pPr>
            <w:r w:rsidRPr="00632FE0">
              <w:rPr>
                <w:sz w:val="22"/>
                <w:szCs w:val="22"/>
              </w:rPr>
              <w:t>киоск</w:t>
            </w:r>
          </w:p>
        </w:tc>
        <w:tc>
          <w:tcPr>
            <w:tcW w:w="1812" w:type="dxa"/>
            <w:tcBorders>
              <w:top w:val="single" w:sz="4" w:space="0" w:color="auto"/>
              <w:bottom w:val="single" w:sz="4" w:space="0" w:color="auto"/>
            </w:tcBorders>
            <w:tcMar>
              <w:top w:w="15" w:type="dxa"/>
              <w:left w:w="149" w:type="dxa"/>
              <w:bottom w:w="15" w:type="dxa"/>
              <w:right w:w="149" w:type="dxa"/>
            </w:tcMar>
          </w:tcPr>
          <w:p w:rsidR="00756565" w:rsidRPr="00632FE0" w:rsidRDefault="00756565" w:rsidP="009864BF">
            <w:pPr>
              <w:rPr>
                <w:sz w:val="22"/>
                <w:szCs w:val="22"/>
              </w:rPr>
            </w:pPr>
            <w:r w:rsidRPr="00632FE0">
              <w:rPr>
                <w:sz w:val="22"/>
                <w:szCs w:val="22"/>
              </w:rPr>
              <w:t>продовольственный</w:t>
            </w:r>
          </w:p>
        </w:tc>
        <w:tc>
          <w:tcPr>
            <w:tcW w:w="1388" w:type="dxa"/>
          </w:tcPr>
          <w:p w:rsidR="00756565" w:rsidRPr="00632FE0" w:rsidRDefault="00756565" w:rsidP="009864BF">
            <w:pPr>
              <w:rPr>
                <w:sz w:val="22"/>
                <w:szCs w:val="22"/>
              </w:rPr>
            </w:pPr>
            <w:r w:rsidRPr="00632FE0">
              <w:rPr>
                <w:sz w:val="22"/>
                <w:szCs w:val="22"/>
              </w:rPr>
              <w:t>01.05.2023 – 30.04.2024</w:t>
            </w:r>
          </w:p>
        </w:tc>
        <w:tc>
          <w:tcPr>
            <w:tcW w:w="820" w:type="dxa"/>
          </w:tcPr>
          <w:p w:rsidR="00756565" w:rsidRPr="00632FE0" w:rsidRDefault="00756565" w:rsidP="009864BF">
            <w:pPr>
              <w:rPr>
                <w:sz w:val="22"/>
                <w:szCs w:val="22"/>
              </w:rPr>
            </w:pPr>
            <w:r w:rsidRPr="00632FE0">
              <w:rPr>
                <w:sz w:val="22"/>
                <w:szCs w:val="22"/>
              </w:rPr>
              <w:t>40</w:t>
            </w:r>
          </w:p>
        </w:tc>
        <w:tc>
          <w:tcPr>
            <w:tcW w:w="947" w:type="dxa"/>
          </w:tcPr>
          <w:p w:rsidR="00756565" w:rsidRPr="00632FE0" w:rsidRDefault="00756565" w:rsidP="009864BF">
            <w:pPr>
              <w:rPr>
                <w:sz w:val="22"/>
                <w:szCs w:val="22"/>
              </w:rPr>
            </w:pPr>
            <w:r w:rsidRPr="00632FE0">
              <w:rPr>
                <w:sz w:val="22"/>
                <w:szCs w:val="22"/>
              </w:rPr>
              <w:t>25289,76</w:t>
            </w:r>
          </w:p>
        </w:tc>
      </w:tr>
      <w:tr w:rsidR="00756565" w:rsidRPr="00632FE0" w:rsidTr="009864BF">
        <w:trPr>
          <w:trHeight w:val="656"/>
          <w:tblCellSpacing w:w="15" w:type="dxa"/>
        </w:trPr>
        <w:tc>
          <w:tcPr>
            <w:tcW w:w="428"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ind w:right="-174"/>
              <w:rPr>
                <w:sz w:val="22"/>
                <w:szCs w:val="22"/>
              </w:rPr>
            </w:pPr>
          </w:p>
        </w:tc>
        <w:tc>
          <w:tcPr>
            <w:tcW w:w="2380"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right="-174" w:hanging="32"/>
              <w:rPr>
                <w:sz w:val="22"/>
                <w:szCs w:val="22"/>
              </w:rPr>
            </w:pPr>
            <w:r w:rsidRPr="00632FE0">
              <w:rPr>
                <w:sz w:val="22"/>
                <w:szCs w:val="22"/>
              </w:rPr>
              <w:t xml:space="preserve">Ул.  Заводская, напротив д. 1 </w:t>
            </w:r>
          </w:p>
        </w:tc>
        <w:tc>
          <w:tcPr>
            <w:tcW w:w="1813"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r w:rsidRPr="00632FE0">
              <w:rPr>
                <w:sz w:val="22"/>
                <w:szCs w:val="22"/>
              </w:rPr>
              <w:t>павильон</w:t>
            </w:r>
          </w:p>
        </w:tc>
        <w:tc>
          <w:tcPr>
            <w:tcW w:w="18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товары повседневного спроса</w:t>
            </w:r>
          </w:p>
        </w:tc>
        <w:tc>
          <w:tcPr>
            <w:tcW w:w="1388" w:type="dxa"/>
            <w:tcBorders>
              <w:left w:val="single" w:sz="4" w:space="0" w:color="auto"/>
              <w:right w:val="single" w:sz="4" w:space="0" w:color="auto"/>
            </w:tcBorders>
            <w:hideMark/>
          </w:tcPr>
          <w:p w:rsidR="00756565" w:rsidRPr="00632FE0" w:rsidRDefault="00756565" w:rsidP="009864BF">
            <w:pPr>
              <w:rPr>
                <w:sz w:val="22"/>
                <w:szCs w:val="22"/>
              </w:rPr>
            </w:pPr>
            <w:r w:rsidRPr="00632FE0">
              <w:rPr>
                <w:sz w:val="22"/>
                <w:szCs w:val="22"/>
              </w:rPr>
              <w:t>01.05.2023 – 30.04.2024</w:t>
            </w:r>
          </w:p>
        </w:tc>
        <w:tc>
          <w:tcPr>
            <w:tcW w:w="820" w:type="dxa"/>
            <w:tcBorders>
              <w:left w:val="single" w:sz="4" w:space="0" w:color="auto"/>
              <w:right w:val="single" w:sz="4" w:space="0" w:color="auto"/>
            </w:tcBorders>
          </w:tcPr>
          <w:p w:rsidR="00756565" w:rsidRPr="00632FE0" w:rsidRDefault="00756565" w:rsidP="009864BF">
            <w:pPr>
              <w:rPr>
                <w:sz w:val="22"/>
                <w:szCs w:val="22"/>
              </w:rPr>
            </w:pPr>
            <w:r w:rsidRPr="00632FE0">
              <w:rPr>
                <w:sz w:val="22"/>
                <w:szCs w:val="22"/>
              </w:rPr>
              <w:t>40</w:t>
            </w:r>
          </w:p>
        </w:tc>
        <w:tc>
          <w:tcPr>
            <w:tcW w:w="947" w:type="dxa"/>
            <w:tcBorders>
              <w:left w:val="single" w:sz="4" w:space="0" w:color="auto"/>
              <w:right w:val="single" w:sz="4" w:space="0" w:color="auto"/>
            </w:tcBorders>
          </w:tcPr>
          <w:p w:rsidR="00756565" w:rsidRPr="00632FE0" w:rsidRDefault="00756565" w:rsidP="009864BF">
            <w:pPr>
              <w:rPr>
                <w:sz w:val="22"/>
                <w:szCs w:val="22"/>
              </w:rPr>
            </w:pPr>
            <w:r w:rsidRPr="00632FE0">
              <w:rPr>
                <w:sz w:val="22"/>
                <w:szCs w:val="22"/>
              </w:rPr>
              <w:t>28451,04</w:t>
            </w:r>
          </w:p>
        </w:tc>
      </w:tr>
      <w:tr w:rsidR="00756565" w:rsidRPr="00632FE0" w:rsidTr="009864BF">
        <w:trPr>
          <w:trHeight w:val="581"/>
          <w:tblCellSpacing w:w="15" w:type="dxa"/>
        </w:trPr>
        <w:tc>
          <w:tcPr>
            <w:tcW w:w="428"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ind w:right="-174"/>
              <w:rPr>
                <w:sz w:val="22"/>
                <w:szCs w:val="22"/>
              </w:rPr>
            </w:pPr>
          </w:p>
        </w:tc>
        <w:tc>
          <w:tcPr>
            <w:tcW w:w="2380"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right="-174"/>
              <w:rPr>
                <w:sz w:val="22"/>
                <w:szCs w:val="22"/>
              </w:rPr>
            </w:pPr>
            <w:r w:rsidRPr="00632FE0">
              <w:rPr>
                <w:sz w:val="22"/>
                <w:szCs w:val="22"/>
              </w:rPr>
              <w:t>ул. Победы, 1а</w:t>
            </w:r>
          </w:p>
        </w:tc>
        <w:tc>
          <w:tcPr>
            <w:tcW w:w="1813" w:type="dxa"/>
            <w:tcBorders>
              <w:left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r w:rsidRPr="00632FE0">
              <w:rPr>
                <w:sz w:val="22"/>
                <w:szCs w:val="22"/>
              </w:rPr>
              <w:t>киоск</w:t>
            </w:r>
          </w:p>
          <w:p w:rsidR="00756565" w:rsidRPr="00632FE0" w:rsidRDefault="00756565" w:rsidP="009864BF">
            <w:pPr>
              <w:tabs>
                <w:tab w:val="left" w:pos="1243"/>
              </w:tabs>
              <w:ind w:left="-104" w:right="-174"/>
              <w:rPr>
                <w:sz w:val="22"/>
                <w:szCs w:val="22"/>
              </w:rPr>
            </w:pPr>
          </w:p>
        </w:tc>
        <w:tc>
          <w:tcPr>
            <w:tcW w:w="18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продовольственный</w:t>
            </w:r>
          </w:p>
        </w:tc>
        <w:tc>
          <w:tcPr>
            <w:tcW w:w="1388" w:type="dxa"/>
            <w:tcBorders>
              <w:left w:val="single" w:sz="4" w:space="0" w:color="auto"/>
              <w:right w:val="single" w:sz="4" w:space="0" w:color="auto"/>
            </w:tcBorders>
            <w:hideMark/>
          </w:tcPr>
          <w:p w:rsidR="00756565" w:rsidRPr="00632FE0" w:rsidRDefault="00756565" w:rsidP="009864BF">
            <w:pPr>
              <w:rPr>
                <w:sz w:val="22"/>
                <w:szCs w:val="22"/>
              </w:rPr>
            </w:pPr>
            <w:r w:rsidRPr="00632FE0">
              <w:rPr>
                <w:sz w:val="22"/>
                <w:szCs w:val="22"/>
              </w:rPr>
              <w:t>01.05.2023 – 30.04.2024</w:t>
            </w:r>
          </w:p>
        </w:tc>
        <w:tc>
          <w:tcPr>
            <w:tcW w:w="820" w:type="dxa"/>
            <w:tcBorders>
              <w:left w:val="single" w:sz="4" w:space="0" w:color="auto"/>
              <w:right w:val="single" w:sz="4" w:space="0" w:color="auto"/>
            </w:tcBorders>
          </w:tcPr>
          <w:p w:rsidR="00756565" w:rsidRPr="00632FE0" w:rsidRDefault="00756565" w:rsidP="009864BF">
            <w:pPr>
              <w:rPr>
                <w:sz w:val="22"/>
                <w:szCs w:val="22"/>
              </w:rPr>
            </w:pPr>
            <w:r w:rsidRPr="00632FE0">
              <w:rPr>
                <w:sz w:val="22"/>
                <w:szCs w:val="22"/>
              </w:rPr>
              <w:t>40</w:t>
            </w:r>
          </w:p>
        </w:tc>
        <w:tc>
          <w:tcPr>
            <w:tcW w:w="947" w:type="dxa"/>
            <w:tcBorders>
              <w:left w:val="single" w:sz="4" w:space="0" w:color="auto"/>
              <w:right w:val="single" w:sz="4" w:space="0" w:color="auto"/>
            </w:tcBorders>
          </w:tcPr>
          <w:p w:rsidR="00756565" w:rsidRPr="00632FE0" w:rsidRDefault="00756565" w:rsidP="009864BF">
            <w:pPr>
              <w:rPr>
                <w:sz w:val="22"/>
                <w:szCs w:val="22"/>
              </w:rPr>
            </w:pPr>
            <w:r w:rsidRPr="00632FE0">
              <w:rPr>
                <w:sz w:val="22"/>
                <w:szCs w:val="22"/>
              </w:rPr>
              <w:t>25289,76</w:t>
            </w:r>
          </w:p>
        </w:tc>
      </w:tr>
      <w:tr w:rsidR="00756565" w:rsidRPr="00632FE0" w:rsidTr="009864BF">
        <w:trPr>
          <w:trHeight w:val="581"/>
          <w:tblCellSpacing w:w="15" w:type="dxa"/>
        </w:trPr>
        <w:tc>
          <w:tcPr>
            <w:tcW w:w="428" w:type="dxa"/>
            <w:tcBorders>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756565">
            <w:pPr>
              <w:pStyle w:val="a5"/>
              <w:numPr>
                <w:ilvl w:val="0"/>
                <w:numId w:val="6"/>
              </w:numPr>
              <w:spacing w:before="100" w:beforeAutospacing="1" w:after="100" w:afterAutospacing="1" w:line="276" w:lineRule="auto"/>
              <w:ind w:right="-174"/>
              <w:rPr>
                <w:sz w:val="22"/>
                <w:szCs w:val="22"/>
              </w:rPr>
            </w:pPr>
          </w:p>
        </w:tc>
        <w:tc>
          <w:tcPr>
            <w:tcW w:w="2380" w:type="dxa"/>
            <w:tcBorders>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right="-174"/>
              <w:rPr>
                <w:sz w:val="22"/>
                <w:szCs w:val="22"/>
              </w:rPr>
            </w:pPr>
            <w:r w:rsidRPr="00632FE0">
              <w:rPr>
                <w:sz w:val="22"/>
                <w:szCs w:val="22"/>
              </w:rPr>
              <w:t>ул. Интернациональная, 122</w:t>
            </w:r>
          </w:p>
        </w:tc>
        <w:tc>
          <w:tcPr>
            <w:tcW w:w="1813" w:type="dxa"/>
            <w:tcBorders>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tabs>
                <w:tab w:val="left" w:pos="1243"/>
              </w:tabs>
              <w:ind w:left="-104" w:right="-174"/>
              <w:rPr>
                <w:sz w:val="22"/>
                <w:szCs w:val="22"/>
              </w:rPr>
            </w:pPr>
            <w:r w:rsidRPr="00632FE0">
              <w:rPr>
                <w:sz w:val="22"/>
                <w:szCs w:val="22"/>
              </w:rPr>
              <w:t>киоск</w:t>
            </w:r>
          </w:p>
        </w:tc>
        <w:tc>
          <w:tcPr>
            <w:tcW w:w="181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756565" w:rsidRPr="00632FE0" w:rsidRDefault="00756565" w:rsidP="009864BF">
            <w:pPr>
              <w:ind w:left="-129" w:right="-162"/>
              <w:rPr>
                <w:sz w:val="22"/>
                <w:szCs w:val="22"/>
              </w:rPr>
            </w:pPr>
            <w:r w:rsidRPr="00632FE0">
              <w:rPr>
                <w:sz w:val="22"/>
                <w:szCs w:val="22"/>
              </w:rPr>
              <w:t>продовольственный</w:t>
            </w:r>
          </w:p>
        </w:tc>
        <w:tc>
          <w:tcPr>
            <w:tcW w:w="1388" w:type="dxa"/>
            <w:tcBorders>
              <w:left w:val="single" w:sz="4" w:space="0" w:color="auto"/>
              <w:bottom w:val="single" w:sz="4" w:space="0" w:color="auto"/>
              <w:right w:val="single" w:sz="4" w:space="0" w:color="auto"/>
            </w:tcBorders>
            <w:hideMark/>
          </w:tcPr>
          <w:p w:rsidR="00756565" w:rsidRPr="00632FE0" w:rsidRDefault="00756565" w:rsidP="009864BF">
            <w:pPr>
              <w:rPr>
                <w:sz w:val="22"/>
                <w:szCs w:val="22"/>
              </w:rPr>
            </w:pPr>
            <w:r w:rsidRPr="00632FE0">
              <w:rPr>
                <w:sz w:val="22"/>
                <w:szCs w:val="22"/>
              </w:rPr>
              <w:t>01.05.2023 – 30.04.2024</w:t>
            </w:r>
          </w:p>
        </w:tc>
        <w:tc>
          <w:tcPr>
            <w:tcW w:w="820" w:type="dxa"/>
            <w:tcBorders>
              <w:left w:val="single" w:sz="4" w:space="0" w:color="auto"/>
              <w:bottom w:val="single" w:sz="4" w:space="0" w:color="auto"/>
              <w:right w:val="single" w:sz="4" w:space="0" w:color="auto"/>
            </w:tcBorders>
          </w:tcPr>
          <w:p w:rsidR="00756565" w:rsidRPr="00632FE0" w:rsidRDefault="00756565" w:rsidP="009864BF">
            <w:pPr>
              <w:rPr>
                <w:sz w:val="22"/>
                <w:szCs w:val="22"/>
              </w:rPr>
            </w:pPr>
            <w:r w:rsidRPr="00632FE0">
              <w:rPr>
                <w:sz w:val="22"/>
                <w:szCs w:val="22"/>
              </w:rPr>
              <w:t>25</w:t>
            </w:r>
          </w:p>
        </w:tc>
        <w:tc>
          <w:tcPr>
            <w:tcW w:w="947" w:type="dxa"/>
            <w:tcBorders>
              <w:left w:val="single" w:sz="4" w:space="0" w:color="auto"/>
              <w:bottom w:val="single" w:sz="4" w:space="0" w:color="auto"/>
              <w:right w:val="single" w:sz="4" w:space="0" w:color="auto"/>
            </w:tcBorders>
          </w:tcPr>
          <w:p w:rsidR="00756565" w:rsidRPr="00632FE0" w:rsidRDefault="00756565" w:rsidP="009864BF">
            <w:pPr>
              <w:rPr>
                <w:sz w:val="22"/>
                <w:szCs w:val="22"/>
              </w:rPr>
            </w:pPr>
            <w:r w:rsidRPr="00632FE0">
              <w:rPr>
                <w:sz w:val="22"/>
                <w:szCs w:val="22"/>
              </w:rPr>
              <w:t>15806,16</w:t>
            </w:r>
          </w:p>
        </w:tc>
      </w:tr>
    </w:tbl>
    <w:p w:rsidR="00756565" w:rsidRDefault="00756565" w:rsidP="002E21F9">
      <w:pPr>
        <w:spacing w:line="276" w:lineRule="auto"/>
        <w:jc w:val="both"/>
        <w:rPr>
          <w:sz w:val="22"/>
          <w:szCs w:val="22"/>
        </w:rPr>
      </w:pPr>
    </w:p>
    <w:p w:rsidR="00246F3D" w:rsidRDefault="00246F3D" w:rsidP="00D11D3F">
      <w:pPr>
        <w:autoSpaceDE w:val="0"/>
        <w:autoSpaceDN w:val="0"/>
        <w:adjustRightInd w:val="0"/>
        <w:spacing w:line="276" w:lineRule="auto"/>
        <w:ind w:firstLine="567"/>
        <w:jc w:val="both"/>
        <w:rPr>
          <w:sz w:val="22"/>
          <w:szCs w:val="22"/>
        </w:rPr>
      </w:pPr>
      <w:r>
        <w:rPr>
          <w:sz w:val="22"/>
          <w:szCs w:val="22"/>
        </w:rPr>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190F21" w:rsidRDefault="00246F3D" w:rsidP="00D11D3F">
      <w:pPr>
        <w:pStyle w:val="ConsPlusNormal"/>
        <w:spacing w:line="276" w:lineRule="auto"/>
        <w:ind w:firstLine="567"/>
        <w:jc w:val="both"/>
        <w:rPr>
          <w:sz w:val="22"/>
          <w:szCs w:val="22"/>
        </w:rPr>
      </w:pPr>
      <w:r>
        <w:rPr>
          <w:b/>
          <w:sz w:val="22"/>
          <w:szCs w:val="22"/>
        </w:rPr>
        <w:t xml:space="preserve"> В срок до</w:t>
      </w:r>
      <w:r w:rsidR="00E73F31">
        <w:rPr>
          <w:b/>
          <w:sz w:val="22"/>
          <w:szCs w:val="22"/>
        </w:rPr>
        <w:t xml:space="preserve"> </w:t>
      </w:r>
      <w:r w:rsidR="00E73F31" w:rsidRPr="00FA2441">
        <w:rPr>
          <w:b/>
          <w:sz w:val="22"/>
          <w:szCs w:val="22"/>
          <w:highlight w:val="yellow"/>
        </w:rPr>
        <w:t>12:00</w:t>
      </w:r>
      <w:r w:rsidRPr="00FA2441">
        <w:rPr>
          <w:b/>
          <w:sz w:val="22"/>
          <w:szCs w:val="22"/>
          <w:highlight w:val="yellow"/>
        </w:rPr>
        <w:t xml:space="preserve"> </w:t>
      </w:r>
      <w:r w:rsidR="00E73F31" w:rsidRPr="00FA2441">
        <w:rPr>
          <w:b/>
          <w:sz w:val="22"/>
          <w:szCs w:val="22"/>
          <w:highlight w:val="yellow"/>
        </w:rPr>
        <w:t>часов</w:t>
      </w:r>
      <w:r w:rsidR="00E73F31">
        <w:rPr>
          <w:b/>
          <w:sz w:val="22"/>
          <w:szCs w:val="22"/>
        </w:rPr>
        <w:t xml:space="preserve"> </w:t>
      </w:r>
      <w:r w:rsidR="00756565">
        <w:rPr>
          <w:b/>
          <w:sz w:val="22"/>
          <w:szCs w:val="22"/>
          <w:highlight w:val="yellow"/>
        </w:rPr>
        <w:t>14.04.2023</w:t>
      </w:r>
      <w:r w:rsidR="00181CFC">
        <w:rPr>
          <w:b/>
          <w:sz w:val="22"/>
          <w:szCs w:val="22"/>
          <w:highlight w:val="yellow"/>
        </w:rPr>
        <w:t xml:space="preserve"> </w:t>
      </w:r>
      <w:r w:rsidRPr="005B4FBB">
        <w:rPr>
          <w:b/>
          <w:sz w:val="22"/>
          <w:szCs w:val="22"/>
          <w:highlight w:val="yellow"/>
        </w:rPr>
        <w:t xml:space="preserve"> года</w:t>
      </w:r>
      <w:r>
        <w:rPr>
          <w:b/>
          <w:sz w:val="22"/>
          <w:szCs w:val="22"/>
        </w:rPr>
        <w:t xml:space="preserve"> </w:t>
      </w:r>
      <w:r>
        <w:rPr>
          <w:sz w:val="22"/>
          <w:szCs w:val="22"/>
        </w:rPr>
        <w:t xml:space="preserve">Участники конкурса направляют в Администрацию  сельского поселения Раевский сельсовет муниципального района Альшеевский </w:t>
      </w:r>
      <w:r w:rsidR="00190F21">
        <w:rPr>
          <w:sz w:val="22"/>
          <w:szCs w:val="22"/>
        </w:rPr>
        <w:t xml:space="preserve">район  Республики Башкортостан  по адресу: Республика Башкортостан, Альшеевский район,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ул. Победы, 2А</w:t>
      </w:r>
      <w:r w:rsidR="00124F11">
        <w:rPr>
          <w:sz w:val="22"/>
          <w:szCs w:val="22"/>
        </w:rPr>
        <w:t xml:space="preserve"> заявку и конкурсную документацию в запечатанном конверте. </w:t>
      </w:r>
      <w:r>
        <w:rPr>
          <w:sz w:val="22"/>
          <w:szCs w:val="22"/>
        </w:rPr>
        <w:t xml:space="preserve"> </w:t>
      </w:r>
    </w:p>
    <w:p w:rsidR="00246F3D" w:rsidRDefault="00246F3D" w:rsidP="00D11D3F">
      <w:pPr>
        <w:pStyle w:val="31"/>
        <w:tabs>
          <w:tab w:val="left" w:pos="709"/>
        </w:tabs>
        <w:autoSpaceDE w:val="0"/>
        <w:autoSpaceDN w:val="0"/>
        <w:adjustRightInd w:val="0"/>
        <w:spacing w:after="0" w:line="276" w:lineRule="auto"/>
        <w:ind w:firstLine="567"/>
        <w:jc w:val="both"/>
        <w:rPr>
          <w:b/>
          <w:sz w:val="22"/>
          <w:szCs w:val="22"/>
        </w:rPr>
      </w:pPr>
      <w:r>
        <w:rPr>
          <w:sz w:val="22"/>
          <w:szCs w:val="22"/>
        </w:rPr>
        <w:t>Прием организатором конкурса конкурсной документации в запечатанном виде от участников конкурса  осуществляется по адресу:</w:t>
      </w:r>
      <w:r w:rsidR="00756565">
        <w:rPr>
          <w:sz w:val="22"/>
          <w:szCs w:val="22"/>
        </w:rPr>
        <w:t xml:space="preserve"> Республика Башкортостан, Альшеевский район,</w:t>
      </w:r>
      <w:r>
        <w:rPr>
          <w:sz w:val="22"/>
          <w:szCs w:val="22"/>
        </w:rPr>
        <w:t xml:space="preserve">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ул. Победы, 2А,</w:t>
      </w:r>
      <w:r w:rsidR="005B4FBB">
        <w:rPr>
          <w:sz w:val="22"/>
          <w:szCs w:val="22"/>
        </w:rPr>
        <w:t xml:space="preserve"> </w:t>
      </w:r>
      <w:proofErr w:type="spellStart"/>
      <w:r w:rsidR="005B4FBB">
        <w:rPr>
          <w:sz w:val="22"/>
          <w:szCs w:val="22"/>
        </w:rPr>
        <w:t>каб</w:t>
      </w:r>
      <w:proofErr w:type="spellEnd"/>
      <w:r w:rsidR="005B4FBB">
        <w:rPr>
          <w:sz w:val="22"/>
          <w:szCs w:val="22"/>
        </w:rPr>
        <w:t>. №4</w:t>
      </w:r>
      <w:r>
        <w:rPr>
          <w:sz w:val="22"/>
          <w:szCs w:val="22"/>
        </w:rPr>
        <w:t xml:space="preserve">  с </w:t>
      </w:r>
      <w:r w:rsidR="00756565">
        <w:rPr>
          <w:sz w:val="22"/>
          <w:szCs w:val="22"/>
        </w:rPr>
        <w:t>09:30</w:t>
      </w:r>
      <w:r>
        <w:rPr>
          <w:sz w:val="22"/>
          <w:szCs w:val="22"/>
        </w:rPr>
        <w:t xml:space="preserve"> ч.  до 13.00 ч.,  с 14.30 до 17.00 ч., тел.2-23-</w:t>
      </w:r>
      <w:r w:rsidR="005B4FBB">
        <w:rPr>
          <w:sz w:val="22"/>
          <w:szCs w:val="22"/>
        </w:rPr>
        <w:t>39</w:t>
      </w:r>
      <w:r>
        <w:rPr>
          <w:sz w:val="22"/>
          <w:szCs w:val="22"/>
        </w:rPr>
        <w:t xml:space="preserve"> (кроме выходных и праздничных дней). Конкурсные документы регистрируются организатором конкурса в журнале регистрации конкурсных документов с указанием даты и времени их подачи.</w:t>
      </w:r>
    </w:p>
    <w:p w:rsidR="00246F3D" w:rsidRDefault="000667DF" w:rsidP="00D11D3F">
      <w:pPr>
        <w:autoSpaceDE w:val="0"/>
        <w:autoSpaceDN w:val="0"/>
        <w:adjustRightInd w:val="0"/>
        <w:spacing w:line="276" w:lineRule="auto"/>
        <w:ind w:firstLine="567"/>
        <w:jc w:val="both"/>
        <w:rPr>
          <w:b/>
          <w:sz w:val="22"/>
          <w:szCs w:val="22"/>
        </w:rPr>
      </w:pPr>
      <w:r>
        <w:rPr>
          <w:sz w:val="22"/>
          <w:szCs w:val="22"/>
        </w:rPr>
        <w:t>Место, дата, время вскрытия конвертов с заявками</w:t>
      </w:r>
      <w:r w:rsidR="00246F3D">
        <w:rPr>
          <w:sz w:val="22"/>
          <w:szCs w:val="22"/>
        </w:rPr>
        <w:t>: Республика Башкортостан, Альшеевский рай</w:t>
      </w:r>
      <w:r>
        <w:rPr>
          <w:sz w:val="22"/>
          <w:szCs w:val="22"/>
        </w:rPr>
        <w:t xml:space="preserve">он,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xml:space="preserve">, ул. Победы, 2А, </w:t>
      </w:r>
      <w:r w:rsidR="00246F3D">
        <w:rPr>
          <w:sz w:val="22"/>
          <w:szCs w:val="22"/>
        </w:rPr>
        <w:t xml:space="preserve"> </w:t>
      </w:r>
      <w:r w:rsidR="00756565">
        <w:rPr>
          <w:b/>
          <w:sz w:val="22"/>
          <w:szCs w:val="22"/>
          <w:highlight w:val="yellow"/>
        </w:rPr>
        <w:t>19.04</w:t>
      </w:r>
      <w:r w:rsidR="00FA2441">
        <w:rPr>
          <w:b/>
          <w:sz w:val="22"/>
          <w:szCs w:val="22"/>
          <w:highlight w:val="yellow"/>
        </w:rPr>
        <w:t>.202</w:t>
      </w:r>
      <w:r w:rsidR="00756565">
        <w:rPr>
          <w:b/>
          <w:sz w:val="22"/>
          <w:szCs w:val="22"/>
          <w:highlight w:val="yellow"/>
        </w:rPr>
        <w:t>3</w:t>
      </w:r>
      <w:r>
        <w:rPr>
          <w:b/>
          <w:sz w:val="22"/>
          <w:szCs w:val="22"/>
          <w:highlight w:val="yellow"/>
        </w:rPr>
        <w:t xml:space="preserve"> года</w:t>
      </w:r>
      <w:r>
        <w:rPr>
          <w:b/>
          <w:sz w:val="22"/>
          <w:szCs w:val="22"/>
        </w:rPr>
        <w:t xml:space="preserve"> в </w:t>
      </w:r>
      <w:r w:rsidR="00246F3D">
        <w:rPr>
          <w:b/>
          <w:sz w:val="22"/>
          <w:szCs w:val="22"/>
        </w:rPr>
        <w:t xml:space="preserve"> 1</w:t>
      </w:r>
      <w:r w:rsidR="00B21DDC">
        <w:rPr>
          <w:b/>
          <w:sz w:val="22"/>
          <w:szCs w:val="22"/>
        </w:rPr>
        <w:t>5</w:t>
      </w:r>
      <w:r w:rsidR="00246F3D">
        <w:rPr>
          <w:b/>
          <w:sz w:val="22"/>
          <w:szCs w:val="22"/>
        </w:rPr>
        <w:t xml:space="preserve"> ч. 00 мин.</w:t>
      </w:r>
    </w:p>
    <w:p w:rsidR="00124F11" w:rsidRPr="002D34B7" w:rsidRDefault="00124F11" w:rsidP="00124F11">
      <w:pPr>
        <w:pStyle w:val="ConsPlusNormal"/>
        <w:ind w:firstLine="539"/>
        <w:jc w:val="both"/>
      </w:pPr>
      <w:r w:rsidRPr="002D34B7">
        <w:t>Заявка на участие в Конкурсе должна содержать:</w:t>
      </w:r>
    </w:p>
    <w:p w:rsidR="00124F11" w:rsidRPr="002D34B7" w:rsidRDefault="00124F11" w:rsidP="00124F11">
      <w:pPr>
        <w:pStyle w:val="ConsPlusNormal"/>
        <w:ind w:firstLine="539"/>
        <w:jc w:val="both"/>
      </w:pPr>
      <w:r w:rsidRPr="002D34B7">
        <w:t>1) сведения и документы о заявителе, подавшем такую заявку:</w:t>
      </w:r>
    </w:p>
    <w:p w:rsidR="00124F11" w:rsidRPr="002D34B7" w:rsidRDefault="00124F11" w:rsidP="00124F11">
      <w:pPr>
        <w:pStyle w:val="ConsPlusNormal"/>
        <w:ind w:firstLine="539"/>
        <w:jc w:val="both"/>
      </w:pPr>
      <w:proofErr w:type="gramStart"/>
      <w:r w:rsidRPr="002D34B7">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124F11" w:rsidRPr="002D34B7" w:rsidRDefault="00124F11" w:rsidP="00124F11">
      <w:pPr>
        <w:pStyle w:val="ConsPlusNormal"/>
        <w:ind w:firstLine="539"/>
        <w:jc w:val="both"/>
      </w:pPr>
      <w:proofErr w:type="gramStart"/>
      <w:r w:rsidRPr="002D34B7">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t xml:space="preserve"> индивидуальных предпринимателей или нотариально заверенную копию такой выписки (для индивидуальных предпринимателей).</w:t>
      </w:r>
    </w:p>
    <w:p w:rsidR="00124F11" w:rsidRPr="002D34B7" w:rsidRDefault="00124F11" w:rsidP="00124F11">
      <w:pPr>
        <w:pStyle w:val="ConsPlusNormal"/>
        <w:ind w:firstLine="539"/>
        <w:jc w:val="both"/>
      </w:pPr>
      <w:proofErr w:type="gramStart"/>
      <w:r w:rsidRPr="002D34B7">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24F11" w:rsidRPr="002D34B7" w:rsidRDefault="00124F11" w:rsidP="00124F11">
      <w:pPr>
        <w:pStyle w:val="ConsPlusNormal"/>
        <w:ind w:firstLine="539"/>
        <w:jc w:val="both"/>
      </w:pPr>
      <w:r w:rsidRPr="002D34B7">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2D34B7">
        <w:t xml:space="preserve">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2D34B7">
        <w:lastRenderedPageBreak/>
        <w:t>подтверждающий полномочия такого лица;</w:t>
      </w:r>
      <w:proofErr w:type="gramEnd"/>
    </w:p>
    <w:p w:rsidR="00124F11" w:rsidRPr="002D34B7" w:rsidRDefault="00124F11" w:rsidP="00124F11">
      <w:pPr>
        <w:pStyle w:val="ConsPlusNormal"/>
        <w:ind w:firstLine="539"/>
        <w:jc w:val="both"/>
      </w:pPr>
      <w:r w:rsidRPr="002D34B7">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24F11" w:rsidRPr="002D34B7" w:rsidRDefault="00124F11" w:rsidP="00124F11">
      <w:pPr>
        <w:pStyle w:val="ConsPlusNormal"/>
        <w:ind w:firstLine="539"/>
        <w:jc w:val="both"/>
      </w:pPr>
      <w:proofErr w:type="spellStart"/>
      <w:r w:rsidRPr="002D34B7">
        <w:t>д</w:t>
      </w:r>
      <w:proofErr w:type="spellEnd"/>
      <w:r w:rsidRPr="002D34B7">
        <w:t>) копии учредительных документов заявителя (для юридических лиц);</w:t>
      </w:r>
    </w:p>
    <w:p w:rsidR="00124F11" w:rsidRPr="002D34B7" w:rsidRDefault="00124F11" w:rsidP="00124F11">
      <w:pPr>
        <w:pStyle w:val="ConsPlusNormal"/>
        <w:ind w:firstLine="539"/>
        <w:jc w:val="both"/>
      </w:pPr>
      <w:r w:rsidRPr="002D34B7">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r w:rsidRPr="002D34B7">
          <w:rPr>
            <w:color w:val="0000FF"/>
          </w:rPr>
          <w:t>Кодексом</w:t>
        </w:r>
      </w:hyperlink>
      <w:r w:rsidRPr="002D34B7">
        <w:t xml:space="preserve"> Российской Федерации об административных правонарушениях;</w:t>
      </w:r>
    </w:p>
    <w:p w:rsidR="00124F11" w:rsidRPr="002D34B7" w:rsidRDefault="00124F11" w:rsidP="00124F11">
      <w:pPr>
        <w:pStyle w:val="ConsPlusNormal"/>
        <w:ind w:firstLine="539"/>
        <w:jc w:val="both"/>
      </w:pPr>
      <w:r w:rsidRPr="002D34B7">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t>интернет-ресурса</w:t>
      </w:r>
      <w:proofErr w:type="spellEnd"/>
      <w:r w:rsidRPr="002D34B7">
        <w:t>;</w:t>
      </w:r>
    </w:p>
    <w:p w:rsidR="00124F11" w:rsidRPr="002D34B7" w:rsidRDefault="00124F11" w:rsidP="00124F11">
      <w:pPr>
        <w:pStyle w:val="ConsPlusNormal"/>
        <w:ind w:firstLine="539"/>
        <w:jc w:val="both"/>
      </w:pPr>
      <w:r w:rsidRPr="002D34B7">
        <w:t>2) предложение о цене договора;</w:t>
      </w:r>
    </w:p>
    <w:p w:rsidR="00124F11" w:rsidRPr="00124F11" w:rsidRDefault="00124F11" w:rsidP="00124F11">
      <w:pPr>
        <w:pStyle w:val="ConsPlusNormal"/>
        <w:ind w:firstLine="539"/>
        <w:jc w:val="both"/>
      </w:pPr>
      <w:r w:rsidRPr="002D34B7">
        <w:t xml:space="preserve">3) предложения об условиях исполнения договора, которые являются критериями оценки </w:t>
      </w:r>
      <w:r w:rsidRPr="00124F11">
        <w:t>заявок на участие в Конкурсе;</w:t>
      </w:r>
    </w:p>
    <w:p w:rsidR="00124F11" w:rsidRPr="00124F11" w:rsidRDefault="00124F11" w:rsidP="00124F11">
      <w:pPr>
        <w:pStyle w:val="ConsPlusNormal"/>
        <w:ind w:firstLine="540"/>
        <w:jc w:val="both"/>
      </w:pPr>
      <w:r w:rsidRPr="00124F11">
        <w:t>Оценка заявок осуществляется с использованием следующих критериев оценки заявок:</w:t>
      </w:r>
    </w:p>
    <w:p w:rsidR="00124F11" w:rsidRPr="00124F11" w:rsidRDefault="00124F11" w:rsidP="00124F11">
      <w:pPr>
        <w:pStyle w:val="ConsPlusNormal"/>
        <w:ind w:firstLine="540"/>
        <w:jc w:val="both"/>
      </w:pPr>
      <w:r w:rsidRPr="00124F11">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124F11" w:rsidRPr="00124F11" w:rsidRDefault="00124F11" w:rsidP="00124F11">
      <w:pPr>
        <w:pStyle w:val="ConsPlusNormal"/>
        <w:ind w:firstLine="540"/>
        <w:jc w:val="both"/>
      </w:pPr>
      <w:r w:rsidRPr="00124F11">
        <w:t>2) количество рабочих мест, которые будут использованы в случае размещения нестационарного торгового объекта;</w:t>
      </w:r>
    </w:p>
    <w:p w:rsidR="00124F11" w:rsidRPr="00124F11" w:rsidRDefault="00124F11" w:rsidP="00124F11">
      <w:pPr>
        <w:pStyle w:val="ConsPlusNormal"/>
        <w:ind w:firstLine="540"/>
        <w:jc w:val="both"/>
      </w:pPr>
      <w:r w:rsidRPr="00124F11">
        <w:t>3) опыт работы заявителя в сфере нестационарной торговли;</w:t>
      </w:r>
    </w:p>
    <w:p w:rsidR="00124F11" w:rsidRPr="00124F11" w:rsidRDefault="00124F11" w:rsidP="00124F11">
      <w:pPr>
        <w:pStyle w:val="ConsPlusNormal"/>
        <w:ind w:firstLine="540"/>
        <w:jc w:val="both"/>
      </w:pPr>
      <w:r w:rsidRPr="00124F11">
        <w:t>4) качество услуг торговли, функционально-технологическое решение нестационарного торгового объекта;</w:t>
      </w:r>
    </w:p>
    <w:p w:rsidR="00124F11" w:rsidRPr="00124F11" w:rsidRDefault="00124F11" w:rsidP="00124F11">
      <w:pPr>
        <w:pStyle w:val="ConsPlusNormal"/>
        <w:ind w:firstLine="540"/>
        <w:jc w:val="both"/>
      </w:pPr>
      <w:r w:rsidRPr="00124F11">
        <w:t>5) стоимость права заключения договора на право размещения нестационарного торгового объекта;</w:t>
      </w:r>
    </w:p>
    <w:p w:rsidR="002E21F9" w:rsidRDefault="00246F3D" w:rsidP="00D11D3F">
      <w:pPr>
        <w:autoSpaceDE w:val="0"/>
        <w:autoSpaceDN w:val="0"/>
        <w:adjustRightInd w:val="0"/>
        <w:spacing w:line="276" w:lineRule="auto"/>
        <w:ind w:firstLine="567"/>
        <w:jc w:val="both"/>
        <w:rPr>
          <w:sz w:val="22"/>
          <w:szCs w:val="22"/>
        </w:rPr>
      </w:pPr>
      <w:r>
        <w:rPr>
          <w:sz w:val="22"/>
          <w:szCs w:val="22"/>
        </w:rPr>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w:t>
      </w:r>
      <w:r w:rsidR="000667DF">
        <w:rPr>
          <w:sz w:val="22"/>
          <w:szCs w:val="22"/>
        </w:rPr>
        <w:t xml:space="preserve"> </w:t>
      </w:r>
      <w:hyperlink r:id="rId7" w:history="1">
        <w:r w:rsidR="000667DF" w:rsidRPr="00CE6EC8">
          <w:rPr>
            <w:rStyle w:val="a9"/>
            <w:sz w:val="22"/>
            <w:szCs w:val="22"/>
          </w:rPr>
          <w:t>https://spraevsky.ru/</w:t>
        </w:r>
      </w:hyperlink>
      <w:r w:rsidR="000667DF">
        <w:rPr>
          <w:sz w:val="22"/>
          <w:szCs w:val="22"/>
        </w:rPr>
        <w:t xml:space="preserve"> </w:t>
      </w:r>
      <w:r>
        <w:rPr>
          <w:sz w:val="22"/>
          <w:szCs w:val="22"/>
        </w:rPr>
        <w:t xml:space="preserve"> в сети Интернет</w:t>
      </w:r>
      <w:r w:rsidR="00A768C2">
        <w:rPr>
          <w:sz w:val="22"/>
          <w:szCs w:val="22"/>
        </w:rPr>
        <w:t>.</w:t>
      </w:r>
    </w:p>
    <w:sectPr w:rsidR="002E21F9" w:rsidSect="002E21F9">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00C2"/>
    <w:multiLevelType w:val="hybridMultilevel"/>
    <w:tmpl w:val="A28A3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00274"/>
    <w:multiLevelType w:val="multilevel"/>
    <w:tmpl w:val="0FE416AC"/>
    <w:lvl w:ilvl="0">
      <w:start w:val="1"/>
      <w:numFmt w:val="decimal"/>
      <w:lvlText w:val="%1."/>
      <w:lvlJc w:val="left"/>
      <w:pPr>
        <w:ind w:left="450" w:hanging="450"/>
      </w:pPr>
      <w:rPr>
        <w:rFonts w:hint="default"/>
      </w:rPr>
    </w:lvl>
    <w:lvl w:ilvl="1">
      <w:start w:val="1"/>
      <w:numFmt w:val="decimal"/>
      <w:lvlText w:val="%1.%2."/>
      <w:lvlJc w:val="left"/>
      <w:pPr>
        <w:ind w:left="1335" w:hanging="45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D605B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D6E0A"/>
    <w:multiLevelType w:val="hybridMultilevel"/>
    <w:tmpl w:val="A5E6F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2DC"/>
    <w:rsid w:val="000071DD"/>
    <w:rsid w:val="00010DD1"/>
    <w:rsid w:val="0001263C"/>
    <w:rsid w:val="00012860"/>
    <w:rsid w:val="00015B83"/>
    <w:rsid w:val="00021A81"/>
    <w:rsid w:val="00024AD3"/>
    <w:rsid w:val="00027499"/>
    <w:rsid w:val="00030C83"/>
    <w:rsid w:val="00032CF5"/>
    <w:rsid w:val="00033A84"/>
    <w:rsid w:val="00040420"/>
    <w:rsid w:val="00063F4D"/>
    <w:rsid w:val="000655BA"/>
    <w:rsid w:val="000667DF"/>
    <w:rsid w:val="00067CAF"/>
    <w:rsid w:val="00077AD8"/>
    <w:rsid w:val="0008438A"/>
    <w:rsid w:val="0008489F"/>
    <w:rsid w:val="00084CE8"/>
    <w:rsid w:val="00093DA4"/>
    <w:rsid w:val="000A2FE2"/>
    <w:rsid w:val="000A7F17"/>
    <w:rsid w:val="000C6A4F"/>
    <w:rsid w:val="000D39A0"/>
    <w:rsid w:val="000E208D"/>
    <w:rsid w:val="000E5E3C"/>
    <w:rsid w:val="000F3D27"/>
    <w:rsid w:val="000F71F1"/>
    <w:rsid w:val="00101F21"/>
    <w:rsid w:val="0010231B"/>
    <w:rsid w:val="00102D38"/>
    <w:rsid w:val="00102E02"/>
    <w:rsid w:val="00103211"/>
    <w:rsid w:val="00115BAC"/>
    <w:rsid w:val="00124F11"/>
    <w:rsid w:val="0012539E"/>
    <w:rsid w:val="001273CD"/>
    <w:rsid w:val="001439E9"/>
    <w:rsid w:val="00145701"/>
    <w:rsid w:val="00146EA7"/>
    <w:rsid w:val="001553F3"/>
    <w:rsid w:val="001609E7"/>
    <w:rsid w:val="00165329"/>
    <w:rsid w:val="00165479"/>
    <w:rsid w:val="00177571"/>
    <w:rsid w:val="00181CFC"/>
    <w:rsid w:val="001834FC"/>
    <w:rsid w:val="00190F21"/>
    <w:rsid w:val="00193D15"/>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46F3D"/>
    <w:rsid w:val="00251492"/>
    <w:rsid w:val="00256136"/>
    <w:rsid w:val="00262252"/>
    <w:rsid w:val="002646AE"/>
    <w:rsid w:val="00266AB2"/>
    <w:rsid w:val="0027642D"/>
    <w:rsid w:val="002774B9"/>
    <w:rsid w:val="00284B69"/>
    <w:rsid w:val="002A027C"/>
    <w:rsid w:val="002A2667"/>
    <w:rsid w:val="002A4034"/>
    <w:rsid w:val="002B0C9E"/>
    <w:rsid w:val="002B3A61"/>
    <w:rsid w:val="002B5A1B"/>
    <w:rsid w:val="002C2EEB"/>
    <w:rsid w:val="002D0FF4"/>
    <w:rsid w:val="002D1B81"/>
    <w:rsid w:val="002D356C"/>
    <w:rsid w:val="002D7083"/>
    <w:rsid w:val="002D73A3"/>
    <w:rsid w:val="002E01F7"/>
    <w:rsid w:val="002E21F9"/>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1079"/>
    <w:rsid w:val="00352B4C"/>
    <w:rsid w:val="003534EB"/>
    <w:rsid w:val="003568CF"/>
    <w:rsid w:val="003608CC"/>
    <w:rsid w:val="003641BD"/>
    <w:rsid w:val="003668F5"/>
    <w:rsid w:val="0036785B"/>
    <w:rsid w:val="00370E15"/>
    <w:rsid w:val="00371485"/>
    <w:rsid w:val="00371EA5"/>
    <w:rsid w:val="00371F93"/>
    <w:rsid w:val="00373114"/>
    <w:rsid w:val="003736B4"/>
    <w:rsid w:val="00383E77"/>
    <w:rsid w:val="00391070"/>
    <w:rsid w:val="00391099"/>
    <w:rsid w:val="00392D53"/>
    <w:rsid w:val="00392F6D"/>
    <w:rsid w:val="00393B5B"/>
    <w:rsid w:val="003A2D19"/>
    <w:rsid w:val="003A5BF8"/>
    <w:rsid w:val="003B1478"/>
    <w:rsid w:val="003B5FC4"/>
    <w:rsid w:val="003B79C9"/>
    <w:rsid w:val="003D0B34"/>
    <w:rsid w:val="003E0239"/>
    <w:rsid w:val="003E0582"/>
    <w:rsid w:val="003E2C1E"/>
    <w:rsid w:val="003E7171"/>
    <w:rsid w:val="003F2A3A"/>
    <w:rsid w:val="003F5936"/>
    <w:rsid w:val="004042FD"/>
    <w:rsid w:val="00404C6B"/>
    <w:rsid w:val="00405B03"/>
    <w:rsid w:val="00426232"/>
    <w:rsid w:val="00432F5F"/>
    <w:rsid w:val="004346DC"/>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3451"/>
    <w:rsid w:val="004A3502"/>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4FBB"/>
    <w:rsid w:val="005B7941"/>
    <w:rsid w:val="005C0271"/>
    <w:rsid w:val="005C12F7"/>
    <w:rsid w:val="005C1388"/>
    <w:rsid w:val="005C5D16"/>
    <w:rsid w:val="005C60F7"/>
    <w:rsid w:val="005D7BD6"/>
    <w:rsid w:val="005E6B22"/>
    <w:rsid w:val="005F02D6"/>
    <w:rsid w:val="005F2A9D"/>
    <w:rsid w:val="005F3FDC"/>
    <w:rsid w:val="005F4D5E"/>
    <w:rsid w:val="005F5208"/>
    <w:rsid w:val="00602CE3"/>
    <w:rsid w:val="0061024C"/>
    <w:rsid w:val="0061172E"/>
    <w:rsid w:val="006143E1"/>
    <w:rsid w:val="006149B8"/>
    <w:rsid w:val="006154FD"/>
    <w:rsid w:val="00622068"/>
    <w:rsid w:val="006249FA"/>
    <w:rsid w:val="0063017A"/>
    <w:rsid w:val="00636BC6"/>
    <w:rsid w:val="006421F5"/>
    <w:rsid w:val="00643F83"/>
    <w:rsid w:val="0064481D"/>
    <w:rsid w:val="00644FDF"/>
    <w:rsid w:val="00647548"/>
    <w:rsid w:val="006639CE"/>
    <w:rsid w:val="00666FAF"/>
    <w:rsid w:val="0066706C"/>
    <w:rsid w:val="006712D7"/>
    <w:rsid w:val="0067438F"/>
    <w:rsid w:val="0067773E"/>
    <w:rsid w:val="006807F4"/>
    <w:rsid w:val="00680C13"/>
    <w:rsid w:val="00681304"/>
    <w:rsid w:val="00683A0E"/>
    <w:rsid w:val="00684A44"/>
    <w:rsid w:val="00686F83"/>
    <w:rsid w:val="0069260F"/>
    <w:rsid w:val="00697A67"/>
    <w:rsid w:val="006A3C38"/>
    <w:rsid w:val="006A6769"/>
    <w:rsid w:val="006B7FE1"/>
    <w:rsid w:val="006C0CA6"/>
    <w:rsid w:val="006C4632"/>
    <w:rsid w:val="006C6D45"/>
    <w:rsid w:val="006D5036"/>
    <w:rsid w:val="006E7D5C"/>
    <w:rsid w:val="006F2828"/>
    <w:rsid w:val="006F2B6F"/>
    <w:rsid w:val="006F2BA3"/>
    <w:rsid w:val="00707F8D"/>
    <w:rsid w:val="00716DEA"/>
    <w:rsid w:val="0072581E"/>
    <w:rsid w:val="007318BF"/>
    <w:rsid w:val="00740EE0"/>
    <w:rsid w:val="007468FD"/>
    <w:rsid w:val="00750BFB"/>
    <w:rsid w:val="00750DD9"/>
    <w:rsid w:val="00753115"/>
    <w:rsid w:val="00755A8B"/>
    <w:rsid w:val="0075656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D6FC3"/>
    <w:rsid w:val="007E292D"/>
    <w:rsid w:val="007E6EE9"/>
    <w:rsid w:val="007E7DFD"/>
    <w:rsid w:val="007F5858"/>
    <w:rsid w:val="007F7C28"/>
    <w:rsid w:val="007F7DE9"/>
    <w:rsid w:val="008005D9"/>
    <w:rsid w:val="008022AA"/>
    <w:rsid w:val="00802FC2"/>
    <w:rsid w:val="00810E10"/>
    <w:rsid w:val="008154CB"/>
    <w:rsid w:val="008164BF"/>
    <w:rsid w:val="00817949"/>
    <w:rsid w:val="00835F08"/>
    <w:rsid w:val="00842CFA"/>
    <w:rsid w:val="00843101"/>
    <w:rsid w:val="00843E95"/>
    <w:rsid w:val="00854701"/>
    <w:rsid w:val="0085759C"/>
    <w:rsid w:val="00866775"/>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C7F1D"/>
    <w:rsid w:val="008D71F3"/>
    <w:rsid w:val="008E4420"/>
    <w:rsid w:val="008E47CB"/>
    <w:rsid w:val="008F6C19"/>
    <w:rsid w:val="00907349"/>
    <w:rsid w:val="009073AB"/>
    <w:rsid w:val="00910970"/>
    <w:rsid w:val="00910DB9"/>
    <w:rsid w:val="009168F2"/>
    <w:rsid w:val="00936387"/>
    <w:rsid w:val="00951561"/>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20C9"/>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27507"/>
    <w:rsid w:val="00A35052"/>
    <w:rsid w:val="00A3568D"/>
    <w:rsid w:val="00A42826"/>
    <w:rsid w:val="00A452FE"/>
    <w:rsid w:val="00A47B80"/>
    <w:rsid w:val="00A573C6"/>
    <w:rsid w:val="00A60CAD"/>
    <w:rsid w:val="00A6221B"/>
    <w:rsid w:val="00A768C2"/>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1DDC"/>
    <w:rsid w:val="00B25DB4"/>
    <w:rsid w:val="00B31FB9"/>
    <w:rsid w:val="00B33D1C"/>
    <w:rsid w:val="00B51418"/>
    <w:rsid w:val="00B53BCB"/>
    <w:rsid w:val="00B57373"/>
    <w:rsid w:val="00B63AAA"/>
    <w:rsid w:val="00B67170"/>
    <w:rsid w:val="00B7118F"/>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658CF"/>
    <w:rsid w:val="00C73E47"/>
    <w:rsid w:val="00C80ADF"/>
    <w:rsid w:val="00C91107"/>
    <w:rsid w:val="00C92BFE"/>
    <w:rsid w:val="00C94979"/>
    <w:rsid w:val="00CA430F"/>
    <w:rsid w:val="00CA491F"/>
    <w:rsid w:val="00CA7DAE"/>
    <w:rsid w:val="00CB0CAF"/>
    <w:rsid w:val="00CB38CD"/>
    <w:rsid w:val="00CB6DE4"/>
    <w:rsid w:val="00CC0A6F"/>
    <w:rsid w:val="00CC12DC"/>
    <w:rsid w:val="00CC2B6E"/>
    <w:rsid w:val="00CD3409"/>
    <w:rsid w:val="00CD4743"/>
    <w:rsid w:val="00CD4CAC"/>
    <w:rsid w:val="00CD4E57"/>
    <w:rsid w:val="00CE152C"/>
    <w:rsid w:val="00CE4C0C"/>
    <w:rsid w:val="00CE60ED"/>
    <w:rsid w:val="00CE6469"/>
    <w:rsid w:val="00CF5DF2"/>
    <w:rsid w:val="00CF6086"/>
    <w:rsid w:val="00D043F4"/>
    <w:rsid w:val="00D04833"/>
    <w:rsid w:val="00D11D3F"/>
    <w:rsid w:val="00D14BBB"/>
    <w:rsid w:val="00D15189"/>
    <w:rsid w:val="00D207BC"/>
    <w:rsid w:val="00D23EF1"/>
    <w:rsid w:val="00D250A7"/>
    <w:rsid w:val="00D262F7"/>
    <w:rsid w:val="00D30C66"/>
    <w:rsid w:val="00D340EC"/>
    <w:rsid w:val="00D446B9"/>
    <w:rsid w:val="00D46E6D"/>
    <w:rsid w:val="00D520B2"/>
    <w:rsid w:val="00D52564"/>
    <w:rsid w:val="00D55FCA"/>
    <w:rsid w:val="00D60367"/>
    <w:rsid w:val="00D632C5"/>
    <w:rsid w:val="00D64FBD"/>
    <w:rsid w:val="00D70628"/>
    <w:rsid w:val="00D73992"/>
    <w:rsid w:val="00D74B43"/>
    <w:rsid w:val="00D76434"/>
    <w:rsid w:val="00D825FE"/>
    <w:rsid w:val="00D82B6A"/>
    <w:rsid w:val="00D83BB2"/>
    <w:rsid w:val="00D903D2"/>
    <w:rsid w:val="00D95181"/>
    <w:rsid w:val="00DB4E32"/>
    <w:rsid w:val="00DC1E5C"/>
    <w:rsid w:val="00DD3273"/>
    <w:rsid w:val="00DE2A7C"/>
    <w:rsid w:val="00DE4ED1"/>
    <w:rsid w:val="00E012A4"/>
    <w:rsid w:val="00E070AC"/>
    <w:rsid w:val="00E1114E"/>
    <w:rsid w:val="00E14793"/>
    <w:rsid w:val="00E214B9"/>
    <w:rsid w:val="00E257FD"/>
    <w:rsid w:val="00E303F8"/>
    <w:rsid w:val="00E3118A"/>
    <w:rsid w:val="00E36B09"/>
    <w:rsid w:val="00E40682"/>
    <w:rsid w:val="00E4178C"/>
    <w:rsid w:val="00E434B8"/>
    <w:rsid w:val="00E44525"/>
    <w:rsid w:val="00E46629"/>
    <w:rsid w:val="00E56B36"/>
    <w:rsid w:val="00E621AB"/>
    <w:rsid w:val="00E6358E"/>
    <w:rsid w:val="00E63D25"/>
    <w:rsid w:val="00E7145A"/>
    <w:rsid w:val="00E72D77"/>
    <w:rsid w:val="00E73F31"/>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17304"/>
    <w:rsid w:val="00F2300D"/>
    <w:rsid w:val="00F27183"/>
    <w:rsid w:val="00F27A65"/>
    <w:rsid w:val="00F303E9"/>
    <w:rsid w:val="00F376DE"/>
    <w:rsid w:val="00F40E0B"/>
    <w:rsid w:val="00F4271E"/>
    <w:rsid w:val="00F43D5D"/>
    <w:rsid w:val="00F463AA"/>
    <w:rsid w:val="00F50F98"/>
    <w:rsid w:val="00F5205E"/>
    <w:rsid w:val="00F531CD"/>
    <w:rsid w:val="00F55594"/>
    <w:rsid w:val="00F56280"/>
    <w:rsid w:val="00F56A4D"/>
    <w:rsid w:val="00F6494B"/>
    <w:rsid w:val="00F66FE2"/>
    <w:rsid w:val="00F712A7"/>
    <w:rsid w:val="00F7743D"/>
    <w:rsid w:val="00F8091F"/>
    <w:rsid w:val="00F929A2"/>
    <w:rsid w:val="00F93543"/>
    <w:rsid w:val="00F94D91"/>
    <w:rsid w:val="00FA2200"/>
    <w:rsid w:val="00FA2441"/>
    <w:rsid w:val="00FA3908"/>
    <w:rsid w:val="00FB11AF"/>
    <w:rsid w:val="00FB4E33"/>
    <w:rsid w:val="00FB582A"/>
    <w:rsid w:val="00FD1622"/>
    <w:rsid w:val="00FD766C"/>
    <w:rsid w:val="00FE2828"/>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2DC"/>
    <w:pPr>
      <w:jc w:val="center"/>
    </w:pPr>
    <w:rPr>
      <w:b/>
      <w:bCs/>
    </w:rPr>
  </w:style>
  <w:style w:type="character" w:customStyle="1" w:styleId="a4">
    <w:name w:val="Основной текст Знак"/>
    <w:basedOn w:val="a0"/>
    <w:link w:val="a3"/>
    <w:rsid w:val="00CC12DC"/>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373114"/>
    <w:pPr>
      <w:spacing w:after="120"/>
      <w:ind w:left="283"/>
    </w:pPr>
    <w:rPr>
      <w:sz w:val="16"/>
      <w:szCs w:val="16"/>
    </w:rPr>
  </w:style>
  <w:style w:type="character" w:customStyle="1" w:styleId="30">
    <w:name w:val="Основной текст с отступом 3 Знак"/>
    <w:basedOn w:val="a0"/>
    <w:link w:val="3"/>
    <w:uiPriority w:val="99"/>
    <w:rsid w:val="00373114"/>
    <w:rPr>
      <w:rFonts w:ascii="Times New Roman" w:eastAsia="Times New Roman" w:hAnsi="Times New Roman" w:cs="Times New Roman"/>
      <w:sz w:val="16"/>
      <w:szCs w:val="16"/>
      <w:lang w:eastAsia="ru-RU"/>
    </w:rPr>
  </w:style>
  <w:style w:type="paragraph" w:styleId="31">
    <w:name w:val="Body Text 3"/>
    <w:basedOn w:val="a"/>
    <w:link w:val="32"/>
    <w:semiHidden/>
    <w:unhideWhenUsed/>
    <w:rsid w:val="00246F3D"/>
    <w:pPr>
      <w:spacing w:after="120"/>
    </w:pPr>
    <w:rPr>
      <w:sz w:val="16"/>
      <w:szCs w:val="16"/>
    </w:rPr>
  </w:style>
  <w:style w:type="character" w:customStyle="1" w:styleId="32">
    <w:name w:val="Основной текст 3 Знак"/>
    <w:basedOn w:val="a0"/>
    <w:link w:val="31"/>
    <w:semiHidden/>
    <w:rsid w:val="00246F3D"/>
    <w:rPr>
      <w:rFonts w:ascii="Times New Roman" w:eastAsia="Times New Roman" w:hAnsi="Times New Roman" w:cs="Times New Roman"/>
      <w:sz w:val="16"/>
      <w:szCs w:val="16"/>
      <w:lang w:eastAsia="ru-RU"/>
    </w:rPr>
  </w:style>
  <w:style w:type="paragraph" w:styleId="a5">
    <w:name w:val="List Paragraph"/>
    <w:basedOn w:val="a"/>
    <w:uiPriority w:val="34"/>
    <w:qFormat/>
    <w:rsid w:val="00D30C66"/>
    <w:pPr>
      <w:ind w:left="720"/>
      <w:contextualSpacing/>
    </w:pPr>
  </w:style>
  <w:style w:type="character" w:styleId="a6">
    <w:name w:val="Strong"/>
    <w:basedOn w:val="a0"/>
    <w:uiPriority w:val="22"/>
    <w:qFormat/>
    <w:rsid w:val="00D30C66"/>
    <w:rPr>
      <w:b/>
      <w:bCs/>
    </w:rPr>
  </w:style>
  <w:style w:type="paragraph" w:styleId="a7">
    <w:name w:val="Balloon Text"/>
    <w:basedOn w:val="a"/>
    <w:link w:val="a8"/>
    <w:uiPriority w:val="99"/>
    <w:semiHidden/>
    <w:unhideWhenUsed/>
    <w:rsid w:val="00E44525"/>
    <w:rPr>
      <w:rFonts w:ascii="Tahoma" w:hAnsi="Tahoma" w:cs="Tahoma"/>
      <w:sz w:val="16"/>
      <w:szCs w:val="16"/>
    </w:rPr>
  </w:style>
  <w:style w:type="character" w:customStyle="1" w:styleId="a8">
    <w:name w:val="Текст выноски Знак"/>
    <w:basedOn w:val="a0"/>
    <w:link w:val="a7"/>
    <w:uiPriority w:val="99"/>
    <w:semiHidden/>
    <w:rsid w:val="00E44525"/>
    <w:rPr>
      <w:rFonts w:ascii="Tahoma" w:eastAsia="Times New Roman" w:hAnsi="Tahoma" w:cs="Tahoma"/>
      <w:sz w:val="16"/>
      <w:szCs w:val="16"/>
      <w:lang w:eastAsia="ru-RU"/>
    </w:rPr>
  </w:style>
  <w:style w:type="paragraph" w:customStyle="1" w:styleId="ConsPlusNormal">
    <w:name w:val="ConsPlusNormal"/>
    <w:rsid w:val="00B711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9">
    <w:name w:val="Hyperlink"/>
    <w:basedOn w:val="a0"/>
    <w:uiPriority w:val="99"/>
    <w:unhideWhenUsed/>
    <w:rsid w:val="007565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4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raev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17D90D4BB5F863B79A873AEA1B6CB823697EE82B3E39265903F534DBECE200629AE25E0B1B4D4BF183821142h128K" TargetMode="External"/><Relationship Id="rId5" Type="http://schemas.openxmlformats.org/officeDocument/2006/relationships/hyperlink" Target="mailto:spraevskiyselsovet@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28</cp:revision>
  <cp:lastPrinted>2022-02-18T07:15:00Z</cp:lastPrinted>
  <dcterms:created xsi:type="dcterms:W3CDTF">2016-05-10T09:36:00Z</dcterms:created>
  <dcterms:modified xsi:type="dcterms:W3CDTF">2023-03-13T11:27:00Z</dcterms:modified>
</cp:coreProperties>
</file>